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3119"/>
        <w:gridCol w:w="1984"/>
      </w:tblGrid>
      <w:tr w:rsidR="00A828CA" w:rsidRPr="0084377F" w:rsidTr="00CD6F07">
        <w:trPr>
          <w:trHeight w:val="716"/>
        </w:trPr>
        <w:tc>
          <w:tcPr>
            <w:tcW w:w="567" w:type="dxa"/>
            <w:tcBorders>
              <w:top w:val="single" w:sz="2" w:space="0" w:color="auto"/>
              <w:right w:val="single" w:sz="4" w:space="0" w:color="auto"/>
            </w:tcBorders>
            <w:shd w:val="clear" w:color="auto" w:fill="E0E0E0"/>
            <w:vAlign w:val="center"/>
          </w:tcPr>
          <w:p w:rsidR="00A828CA" w:rsidRPr="0084377F" w:rsidRDefault="00AD7B43" w:rsidP="00080EFC">
            <w:pPr>
              <w:ind w:left="708" w:hanging="708"/>
              <w:jc w:val="center"/>
              <w:rPr>
                <w:rFonts w:ascii="Arial Narrow" w:hAnsi="Arial Narrow" w:cs="Arial"/>
                <w:b/>
                <w:bCs/>
                <w:sz w:val="16"/>
                <w:szCs w:val="16"/>
              </w:rPr>
            </w:pPr>
            <w:bookmarkStart w:id="0" w:name="_GoBack"/>
            <w:bookmarkEnd w:id="0"/>
            <w:r>
              <w:rPr>
                <w:rFonts w:ascii="Arial Narrow" w:hAnsi="Arial Narrow" w:cs="Arial"/>
                <w:b/>
                <w:bCs/>
                <w:sz w:val="16"/>
                <w:szCs w:val="16"/>
              </w:rPr>
              <w:t>7</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A828CA" w:rsidRPr="0084377F" w:rsidRDefault="00A828CA" w:rsidP="00080EFC">
            <w:pPr>
              <w:jc w:val="both"/>
              <w:rPr>
                <w:rFonts w:ascii="Arial Narrow" w:hAnsi="Arial Narrow" w:cs="Arial"/>
                <w:b/>
                <w:bCs/>
                <w:sz w:val="16"/>
                <w:szCs w:val="16"/>
              </w:rPr>
            </w:pPr>
            <w:r w:rsidRPr="0084377F">
              <w:rPr>
                <w:rFonts w:ascii="Arial Narrow" w:hAnsi="Arial Narrow" w:cs="Arial"/>
                <w:b/>
                <w:bCs/>
                <w:sz w:val="16"/>
                <w:szCs w:val="16"/>
              </w:rPr>
              <w:t>Transparencia</w:t>
            </w:r>
          </w:p>
          <w:p w:rsidR="00A828CA" w:rsidRPr="0084377F" w:rsidRDefault="00A828CA" w:rsidP="00F04424">
            <w:pPr>
              <w:jc w:val="both"/>
              <w:rPr>
                <w:rFonts w:ascii="Arial Narrow" w:hAnsi="Arial Narrow" w:cs="Arial"/>
                <w:bCs/>
                <w:sz w:val="16"/>
                <w:szCs w:val="16"/>
              </w:rPr>
            </w:pPr>
            <w:r w:rsidRPr="0084377F">
              <w:rPr>
                <w:rFonts w:ascii="Arial Narrow" w:hAnsi="Arial Narrow" w:cs="Arial"/>
                <w:bCs/>
                <w:sz w:val="16"/>
                <w:szCs w:val="16"/>
              </w:rPr>
              <w:t xml:space="preserve">Verificar la publicación, en la página de </w:t>
            </w:r>
            <w:r w:rsidR="00501B79" w:rsidRPr="0084377F">
              <w:rPr>
                <w:rFonts w:ascii="Arial Narrow" w:hAnsi="Arial Narrow" w:cs="Arial"/>
                <w:bCs/>
                <w:sz w:val="16"/>
                <w:szCs w:val="16"/>
              </w:rPr>
              <w:t>I</w:t>
            </w:r>
            <w:r w:rsidRPr="0084377F">
              <w:rPr>
                <w:rFonts w:ascii="Arial Narrow" w:hAnsi="Arial Narrow" w:cs="Arial"/>
                <w:bCs/>
                <w:sz w:val="16"/>
                <w:szCs w:val="16"/>
              </w:rPr>
              <w:t xml:space="preserve">nternet de la Entidad Fiscalizada, de la información relacionada con sus programas, así como los indicadores estratégicos y de gestión, de conformidad </w:t>
            </w:r>
            <w:r w:rsidR="00F04424">
              <w:rPr>
                <w:rFonts w:ascii="Arial Narrow" w:hAnsi="Arial Narrow" w:cs="Arial"/>
                <w:bCs/>
                <w:sz w:val="16"/>
                <w:szCs w:val="16"/>
              </w:rPr>
              <w:t xml:space="preserve">con el </w:t>
            </w:r>
            <w:r w:rsidRPr="0084377F">
              <w:rPr>
                <w:rFonts w:ascii="Arial Narrow" w:hAnsi="Arial Narrow" w:cs="Arial"/>
                <w:bCs/>
                <w:sz w:val="16"/>
                <w:szCs w:val="16"/>
              </w:rPr>
              <w:t>Título Quinto de la Ley General de Contabilidad Gubernamental.</w:t>
            </w:r>
          </w:p>
        </w:tc>
      </w:tr>
      <w:tr w:rsidR="00BE0121" w:rsidRPr="0084377F" w:rsidTr="00080EFC">
        <w:trPr>
          <w:trHeight w:val="2524"/>
        </w:trPr>
        <w:tc>
          <w:tcPr>
            <w:tcW w:w="567" w:type="dxa"/>
            <w:shd w:val="clear" w:color="auto" w:fill="auto"/>
            <w:vAlign w:val="center"/>
          </w:tcPr>
          <w:p w:rsidR="00BE0121" w:rsidRPr="0084377F" w:rsidRDefault="00AD7B43" w:rsidP="00BE0121">
            <w:pPr>
              <w:jc w:val="center"/>
              <w:rPr>
                <w:rFonts w:ascii="Arial Narrow" w:hAnsi="Arial Narrow" w:cs="Arial"/>
                <w:bCs/>
                <w:sz w:val="16"/>
                <w:szCs w:val="16"/>
              </w:rPr>
            </w:pPr>
            <w:r>
              <w:rPr>
                <w:rFonts w:ascii="Arial Narrow" w:hAnsi="Arial Narrow" w:cs="Arial"/>
                <w:bCs/>
                <w:sz w:val="16"/>
                <w:szCs w:val="16"/>
              </w:rPr>
              <w:t>7</w:t>
            </w:r>
            <w:r w:rsidR="00BE0121" w:rsidRPr="0084377F">
              <w:rPr>
                <w:rFonts w:ascii="Arial Narrow" w:hAnsi="Arial Narrow" w:cs="Arial"/>
                <w:bCs/>
                <w:sz w:val="16"/>
                <w:szCs w:val="16"/>
              </w:rPr>
              <w:t>.1</w:t>
            </w:r>
          </w:p>
        </w:tc>
        <w:tc>
          <w:tcPr>
            <w:tcW w:w="1418" w:type="dxa"/>
            <w:shd w:val="clear" w:color="auto" w:fill="auto"/>
            <w:vAlign w:val="center"/>
          </w:tcPr>
          <w:p w:rsidR="00BE0121" w:rsidRPr="0084377F" w:rsidRDefault="00BE0121" w:rsidP="00CD6F07">
            <w:pPr>
              <w:spacing w:before="60" w:after="60"/>
              <w:jc w:val="both"/>
              <w:rPr>
                <w:rFonts w:ascii="Arial Narrow" w:hAnsi="Arial Narrow" w:cs="Arial"/>
                <w:bCs/>
                <w:sz w:val="16"/>
                <w:szCs w:val="16"/>
              </w:rPr>
            </w:pPr>
            <w:r w:rsidRPr="0084377F">
              <w:rPr>
                <w:rFonts w:ascii="Arial Narrow" w:hAnsi="Arial Narrow" w:cs="Arial"/>
                <w:bCs/>
                <w:sz w:val="16"/>
                <w:szCs w:val="16"/>
              </w:rPr>
              <w:t>V</w:t>
            </w:r>
            <w:r w:rsidR="00C707F2" w:rsidRPr="0084377F">
              <w:rPr>
                <w:rFonts w:ascii="Arial Narrow" w:hAnsi="Arial Narrow" w:cs="Arial"/>
                <w:bCs/>
                <w:sz w:val="16"/>
                <w:szCs w:val="16"/>
              </w:rPr>
              <w:t>erificar que las Entidades de Fiscalización</w:t>
            </w:r>
            <w:r w:rsidRPr="0084377F">
              <w:rPr>
                <w:rFonts w:ascii="Arial Narrow" w:hAnsi="Arial Narrow" w:cs="Arial"/>
                <w:bCs/>
                <w:sz w:val="16"/>
                <w:szCs w:val="16"/>
              </w:rPr>
              <w:t>, a más tardar el último día hábil de abril, tengan publicado su Programa Anual de Evaluación, metodologías e indicadores de desempeño de conformidad con el Titulo Quinto de la Ley General de Contabilidad Gubernamental.</w:t>
            </w:r>
          </w:p>
        </w:tc>
        <w:tc>
          <w:tcPr>
            <w:tcW w:w="5386" w:type="dxa"/>
            <w:shd w:val="clear" w:color="auto" w:fill="auto"/>
            <w:vAlign w:val="center"/>
          </w:tcPr>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Documentación:</w:t>
            </w:r>
          </w:p>
          <w:p w:rsidR="00BE0121" w:rsidRPr="0084377F" w:rsidRDefault="00BE0121" w:rsidP="00CD6F07">
            <w:pPr>
              <w:pStyle w:val="Encabezado"/>
              <w:numPr>
                <w:ilvl w:val="0"/>
                <w:numId w:val="18"/>
              </w:numPr>
              <w:ind w:left="216" w:hanging="216"/>
              <w:jc w:val="both"/>
              <w:rPr>
                <w:rFonts w:ascii="Arial Narrow" w:hAnsi="Arial Narrow" w:cs="Arial"/>
                <w:bCs/>
                <w:sz w:val="16"/>
                <w:szCs w:val="16"/>
              </w:rPr>
            </w:pPr>
            <w:r w:rsidRPr="0084377F">
              <w:rPr>
                <w:rFonts w:ascii="Arial Narrow" w:hAnsi="Arial Narrow" w:cs="Arial"/>
                <w:bCs/>
                <w:sz w:val="16"/>
                <w:szCs w:val="16"/>
              </w:rPr>
              <w:t xml:space="preserve">Liga a página de Internet, capturas de </w:t>
            </w:r>
            <w:r w:rsidR="00C707F2" w:rsidRPr="0084377F">
              <w:rPr>
                <w:rFonts w:ascii="Arial Narrow" w:hAnsi="Arial Narrow" w:cs="Arial"/>
                <w:bCs/>
                <w:sz w:val="16"/>
                <w:szCs w:val="16"/>
              </w:rPr>
              <w:t>pantalla, archivos digitales o i</w:t>
            </w:r>
            <w:r w:rsidRPr="0084377F">
              <w:rPr>
                <w:rFonts w:ascii="Arial Narrow" w:hAnsi="Arial Narrow" w:cs="Arial"/>
                <w:bCs/>
                <w:sz w:val="16"/>
                <w:szCs w:val="16"/>
              </w:rPr>
              <w:t>mágenes.</w:t>
            </w:r>
          </w:p>
          <w:p w:rsidR="00CD6F07" w:rsidRPr="0012002E" w:rsidRDefault="00CD6F07" w:rsidP="00CD6F07">
            <w:pPr>
              <w:pStyle w:val="Encabezado"/>
              <w:numPr>
                <w:ilvl w:val="0"/>
                <w:numId w:val="18"/>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Pr>
                <w:rFonts w:ascii="Arial Narrow" w:hAnsi="Arial Narrow" w:cs="Arial"/>
                <w:bCs/>
                <w:sz w:val="16"/>
                <w:szCs w:val="16"/>
              </w:rPr>
              <w:t>.</w:t>
            </w:r>
          </w:p>
          <w:p w:rsidR="00CD6F07" w:rsidRPr="00CD6F07" w:rsidRDefault="00CD6F07" w:rsidP="00CD6F07">
            <w:pPr>
              <w:pStyle w:val="Encabezado"/>
              <w:spacing w:before="60" w:after="60"/>
              <w:jc w:val="both"/>
              <w:rPr>
                <w:rFonts w:ascii="Arial Narrow" w:hAnsi="Arial Narrow" w:cs="Arial"/>
                <w:b/>
                <w:i/>
                <w:sz w:val="8"/>
                <w:szCs w:val="8"/>
              </w:rPr>
            </w:pPr>
          </w:p>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Aplicación del procedimiento:</w:t>
            </w:r>
          </w:p>
          <w:p w:rsidR="00BE0121" w:rsidRPr="0084377F" w:rsidRDefault="00BE0121" w:rsidP="00CD6F07">
            <w:pPr>
              <w:pStyle w:val="Encabezado"/>
              <w:spacing w:before="60" w:after="60"/>
              <w:jc w:val="both"/>
              <w:rPr>
                <w:rFonts w:ascii="Arial Narrow" w:hAnsi="Arial Narrow" w:cs="Arial"/>
                <w:bCs/>
                <w:sz w:val="16"/>
                <w:szCs w:val="16"/>
              </w:rPr>
            </w:pPr>
            <w:r w:rsidRPr="0084377F">
              <w:rPr>
                <w:rFonts w:ascii="Arial Narrow" w:hAnsi="Arial Narrow" w:cs="Arial"/>
                <w:bCs/>
                <w:sz w:val="16"/>
                <w:szCs w:val="16"/>
              </w:rPr>
              <w:t>1. Solicitar a las Entidades Fiscalizadas la fecha</w:t>
            </w:r>
            <w:r w:rsidR="00C707F2" w:rsidRPr="0084377F">
              <w:rPr>
                <w:rFonts w:ascii="Arial Narrow" w:hAnsi="Arial Narrow" w:cs="Arial"/>
                <w:bCs/>
                <w:sz w:val="16"/>
                <w:szCs w:val="16"/>
              </w:rPr>
              <w:t xml:space="preserve"> de publicación de su Programa Anual de Evaluación</w:t>
            </w:r>
            <w:r w:rsidR="008309CC">
              <w:rPr>
                <w:rFonts w:ascii="Arial Narrow" w:hAnsi="Arial Narrow" w:cs="Arial"/>
                <w:bCs/>
                <w:sz w:val="16"/>
                <w:szCs w:val="16"/>
              </w:rPr>
              <w:t>,</w:t>
            </w:r>
            <w:r w:rsidR="00C707F2"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C707F2" w:rsidRPr="0084377F">
              <w:rPr>
                <w:rFonts w:ascii="Arial Narrow" w:hAnsi="Arial Narrow" w:cs="Arial"/>
                <w:bCs/>
                <w:sz w:val="16"/>
                <w:szCs w:val="16"/>
              </w:rPr>
              <w:t>Título Quinto de la Ley General de Contabilidad Gubernamental.</w:t>
            </w:r>
          </w:p>
          <w:p w:rsidR="00BE0121" w:rsidRPr="0084377F" w:rsidRDefault="00BE0121" w:rsidP="00CD6F07">
            <w:pPr>
              <w:pStyle w:val="Encabezado"/>
              <w:spacing w:before="60" w:after="60"/>
              <w:jc w:val="both"/>
              <w:rPr>
                <w:rFonts w:ascii="Arial Narrow" w:hAnsi="Arial Narrow" w:cs="Arial"/>
                <w:sz w:val="16"/>
                <w:szCs w:val="16"/>
              </w:rPr>
            </w:pPr>
            <w:r w:rsidRPr="0084377F">
              <w:rPr>
                <w:rFonts w:ascii="Arial Narrow" w:hAnsi="Arial Narrow" w:cs="Arial"/>
                <w:sz w:val="16"/>
                <w:szCs w:val="16"/>
              </w:rPr>
              <w:t>2. Solicitar a la Entidad Fiscalizada la liga de su página de</w:t>
            </w:r>
            <w:r w:rsidR="004B37CC">
              <w:rPr>
                <w:rFonts w:ascii="Arial Narrow" w:hAnsi="Arial Narrow" w:cs="Arial"/>
                <w:sz w:val="16"/>
                <w:szCs w:val="16"/>
              </w:rPr>
              <w:t xml:space="preserve"> Internet a través de la cual fue</w:t>
            </w:r>
            <w:r w:rsidRPr="0084377F">
              <w:rPr>
                <w:rFonts w:ascii="Arial Narrow" w:hAnsi="Arial Narrow" w:cs="Arial"/>
                <w:sz w:val="16"/>
                <w:szCs w:val="16"/>
              </w:rPr>
              <w:t xml:space="preserve"> publicada la información.</w:t>
            </w:r>
          </w:p>
          <w:p w:rsidR="00BE0121" w:rsidRPr="00CD6F07" w:rsidRDefault="00BE0121" w:rsidP="00CD6F07">
            <w:pPr>
              <w:spacing w:before="60" w:after="60"/>
              <w:jc w:val="both"/>
              <w:rPr>
                <w:rFonts w:ascii="Arial Narrow" w:hAnsi="Arial Narrow" w:cs="Arial"/>
                <w:bCs/>
                <w:sz w:val="16"/>
                <w:szCs w:val="16"/>
              </w:rPr>
            </w:pPr>
            <w:r w:rsidRPr="00CD6F07">
              <w:rPr>
                <w:rFonts w:ascii="Arial Narrow" w:hAnsi="Arial Narrow" w:cs="Arial"/>
                <w:bCs/>
                <w:sz w:val="16"/>
                <w:szCs w:val="16"/>
              </w:rPr>
              <w:t xml:space="preserve">3. </w:t>
            </w:r>
            <w:r w:rsidR="00C707F2" w:rsidRPr="00CD6F07">
              <w:rPr>
                <w:rFonts w:ascii="Arial Narrow" w:hAnsi="Arial Narrow" w:cs="Arial"/>
                <w:bCs/>
                <w:sz w:val="16"/>
                <w:szCs w:val="16"/>
              </w:rPr>
              <w:t>Recabar</w:t>
            </w:r>
            <w:r w:rsidRPr="00CD6F07">
              <w:rPr>
                <w:rFonts w:ascii="Arial Narrow" w:hAnsi="Arial Narrow" w:cs="Arial"/>
                <w:bCs/>
                <w:sz w:val="16"/>
                <w:szCs w:val="16"/>
              </w:rPr>
              <w:t xml:space="preserve"> evidencia de la publicación de</w:t>
            </w:r>
            <w:r w:rsidR="00C707F2" w:rsidRPr="00CD6F07">
              <w:rPr>
                <w:rFonts w:ascii="Arial Narrow" w:hAnsi="Arial Narrow" w:cs="Arial"/>
                <w:bCs/>
                <w:sz w:val="16"/>
                <w:szCs w:val="16"/>
              </w:rPr>
              <w:t>l</w:t>
            </w:r>
            <w:r w:rsidRPr="00CD6F07">
              <w:rPr>
                <w:rFonts w:ascii="Arial Narrow" w:hAnsi="Arial Narrow" w:cs="Arial"/>
                <w:bCs/>
                <w:sz w:val="16"/>
                <w:szCs w:val="16"/>
              </w:rPr>
              <w:t xml:space="preserve"> Programa Anual de Evaluación, metodologías e indicadores de desempeño de conformidad con el Titulo Quinto de la Ley General de Contabilidad Gubernamental.</w:t>
            </w:r>
          </w:p>
          <w:p w:rsidR="00BE0121" w:rsidRPr="00CD6F07" w:rsidRDefault="00BE0121" w:rsidP="00CD6F07">
            <w:pPr>
              <w:spacing w:before="60" w:after="60"/>
              <w:jc w:val="both"/>
              <w:rPr>
                <w:rFonts w:ascii="Arial Narrow" w:hAnsi="Arial Narrow" w:cs="Arial"/>
                <w:bCs/>
                <w:sz w:val="16"/>
                <w:szCs w:val="16"/>
              </w:rPr>
            </w:pPr>
            <w:r w:rsidRPr="00CD6F07">
              <w:rPr>
                <w:rFonts w:ascii="Arial Narrow" w:hAnsi="Arial Narrow" w:cs="Arial"/>
                <w:bCs/>
                <w:sz w:val="16"/>
                <w:szCs w:val="16"/>
              </w:rPr>
              <w:t>4. 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BE0121" w:rsidRPr="0084377F" w:rsidRDefault="00BE0121" w:rsidP="00CD6F07">
            <w:pPr>
              <w:spacing w:before="60" w:after="60"/>
              <w:jc w:val="both"/>
              <w:rPr>
                <w:rFonts w:ascii="Arial Narrow" w:hAnsi="Arial Narrow" w:cs="Arial"/>
                <w:bCs/>
                <w:sz w:val="8"/>
                <w:szCs w:val="8"/>
              </w:rPr>
            </w:pPr>
          </w:p>
          <w:p w:rsidR="00BE0121" w:rsidRDefault="00CD6F07" w:rsidP="00CD6F07">
            <w:pPr>
              <w:spacing w:before="60" w:after="60"/>
              <w:jc w:val="both"/>
              <w:rPr>
                <w:rFonts w:ascii="Arial Narrow" w:hAnsi="Arial Narrow" w:cs="Arial"/>
                <w:b/>
                <w:bCs/>
                <w:i/>
                <w:sz w:val="16"/>
                <w:szCs w:val="16"/>
              </w:rPr>
            </w:pPr>
            <w:r>
              <w:rPr>
                <w:rFonts w:ascii="Arial Narrow" w:hAnsi="Arial Narrow" w:cs="Arial"/>
                <w:b/>
                <w:bCs/>
                <w:i/>
                <w:sz w:val="16"/>
                <w:szCs w:val="16"/>
              </w:rPr>
              <w:t>Fecha de aplicación</w:t>
            </w:r>
          </w:p>
          <w:p w:rsidR="00BE0121" w:rsidRPr="0084377F" w:rsidRDefault="00C707F2" w:rsidP="00CD6F07">
            <w:pPr>
              <w:spacing w:before="60" w:after="60"/>
              <w:jc w:val="both"/>
              <w:rPr>
                <w:rFonts w:ascii="Arial Narrow" w:hAnsi="Arial Narrow" w:cs="Arial"/>
                <w:bCs/>
                <w:sz w:val="16"/>
                <w:szCs w:val="16"/>
              </w:rPr>
            </w:pPr>
            <w:r w:rsidRPr="0084377F">
              <w:rPr>
                <w:rFonts w:ascii="Arial Narrow" w:hAnsi="Arial Narrow" w:cs="Arial"/>
                <w:bCs/>
                <w:sz w:val="16"/>
                <w:szCs w:val="16"/>
              </w:rPr>
              <w:t>Al concluir</w:t>
            </w:r>
            <w:r w:rsidR="00CD6F07">
              <w:rPr>
                <w:rFonts w:ascii="Arial Narrow" w:hAnsi="Arial Narrow" w:cs="Arial"/>
                <w:bCs/>
                <w:sz w:val="16"/>
                <w:szCs w:val="16"/>
              </w:rPr>
              <w:t xml:space="preserve"> el mes de abril del ejercicio que se revisa.</w:t>
            </w: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3119" w:type="dxa"/>
            <w:shd w:val="clear" w:color="auto" w:fill="auto"/>
            <w:vAlign w:val="center"/>
          </w:tcPr>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positivo.</w:t>
            </w:r>
          </w:p>
          <w:p w:rsidR="00BE0121" w:rsidRPr="0084377F" w:rsidRDefault="00BE0121" w:rsidP="00CD6F07">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1. La Entidad Fiscalizada publica en su página de Internet su Programa Anual de Evaluación, metodologías e indicadores de desempeño, de conformidad con el Titulo Quinto de la Ley General de Contabilidad Gubernamental.</w:t>
            </w:r>
          </w:p>
          <w:p w:rsidR="00BE0121" w:rsidRPr="0084377F" w:rsidRDefault="00BE0121" w:rsidP="00CD6F07">
            <w:pPr>
              <w:pStyle w:val="Prrafodelista"/>
              <w:spacing w:before="60" w:after="60"/>
              <w:ind w:left="0"/>
              <w:contextualSpacing w:val="0"/>
              <w:jc w:val="both"/>
              <w:rPr>
                <w:rFonts w:ascii="Arial Narrow" w:hAnsi="Arial Narrow" w:cs="Arial"/>
                <w:bCs/>
                <w:sz w:val="8"/>
                <w:szCs w:val="8"/>
              </w:rPr>
            </w:pPr>
          </w:p>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negativo.</w:t>
            </w:r>
          </w:p>
          <w:p w:rsidR="00BE0121" w:rsidRPr="0084377F" w:rsidRDefault="00BE0121" w:rsidP="00CD6F07">
            <w:pPr>
              <w:pStyle w:val="Prrafodelista"/>
              <w:spacing w:before="60" w:after="60"/>
              <w:ind w:left="0"/>
              <w:contextualSpacing w:val="0"/>
              <w:jc w:val="both"/>
              <w:rPr>
                <w:rFonts w:ascii="Arial Narrow" w:hAnsi="Arial Narrow" w:cs="Arial"/>
                <w:color w:val="000000"/>
                <w:sz w:val="16"/>
                <w:szCs w:val="16"/>
              </w:rPr>
            </w:pPr>
            <w:r w:rsidRPr="0084377F">
              <w:rPr>
                <w:rFonts w:ascii="Arial Narrow" w:hAnsi="Arial Narrow" w:cs="Arial"/>
                <w:color w:val="000000"/>
                <w:sz w:val="16"/>
                <w:szCs w:val="16"/>
              </w:rPr>
              <w:t xml:space="preserve">1. La Entidad Fiscalizada </w:t>
            </w:r>
            <w:r w:rsidRPr="0084377F">
              <w:rPr>
                <w:rFonts w:ascii="Arial Narrow" w:hAnsi="Arial Narrow" w:cs="Arial"/>
                <w:b/>
                <w:color w:val="000000"/>
                <w:sz w:val="16"/>
                <w:szCs w:val="16"/>
              </w:rPr>
              <w:t>no</w:t>
            </w:r>
            <w:r w:rsidRPr="0084377F">
              <w:rPr>
                <w:rFonts w:ascii="Arial Narrow" w:hAnsi="Arial Narrow" w:cs="Arial"/>
                <w:color w:val="000000"/>
                <w:sz w:val="16"/>
                <w:szCs w:val="16"/>
              </w:rPr>
              <w:t xml:space="preserve"> publica en su página de Internet su Programa Anual de Evaluación, metodologías e indicadores de desempeño, </w:t>
            </w:r>
            <w:r w:rsidRPr="0084377F">
              <w:rPr>
                <w:rFonts w:ascii="Arial Narrow" w:hAnsi="Arial Narrow" w:cs="Arial"/>
                <w:bCs/>
                <w:sz w:val="16"/>
                <w:szCs w:val="16"/>
              </w:rPr>
              <w:t>de conformidad con el Titulo Quinto de la Ley General de Contabilidad Gubernamental.</w:t>
            </w:r>
          </w:p>
        </w:tc>
        <w:tc>
          <w:tcPr>
            <w:tcW w:w="1984"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r w:rsidRPr="0084377F">
              <w:rPr>
                <w:rFonts w:ascii="Arial Narrow" w:hAnsi="Arial Narrow" w:cs="Arial"/>
                <w:b/>
                <w:sz w:val="16"/>
                <w:szCs w:val="16"/>
              </w:rPr>
              <w:t>(Solo en caso de resultado negativo)</w:t>
            </w:r>
          </w:p>
          <w:p w:rsidR="00BE0121" w:rsidRPr="0084377F" w:rsidRDefault="00BE0121" w:rsidP="00F04424">
            <w:pPr>
              <w:pStyle w:val="Prrafodelista"/>
              <w:spacing w:before="60" w:after="60"/>
              <w:ind w:left="0"/>
              <w:contextualSpacing w:val="0"/>
              <w:jc w:val="both"/>
              <w:rPr>
                <w:rFonts w:ascii="Arial Narrow" w:hAnsi="Arial Narrow" w:cs="Arial"/>
                <w:sz w:val="16"/>
                <w:szCs w:val="16"/>
              </w:rPr>
            </w:pPr>
            <w:r w:rsidRPr="0084377F">
              <w:rPr>
                <w:rFonts w:ascii="Arial Narrow" w:hAnsi="Arial Narrow" w:cs="Arial"/>
                <w:sz w:val="16"/>
                <w:szCs w:val="16"/>
              </w:rPr>
              <w:t xml:space="preserve">1. La Entidad Fiscalizada deberá publicar su Programa Anual de Evaluación, </w:t>
            </w:r>
            <w:r w:rsidRPr="0084377F">
              <w:rPr>
                <w:rFonts w:ascii="Arial Narrow" w:hAnsi="Arial Narrow" w:cs="Arial"/>
                <w:bCs/>
                <w:sz w:val="16"/>
                <w:szCs w:val="16"/>
              </w:rPr>
              <w:t xml:space="preserve">metodologías e indicadores de desempeño,  </w:t>
            </w:r>
            <w:r w:rsidRPr="0084377F">
              <w:rPr>
                <w:rFonts w:ascii="Arial Narrow" w:hAnsi="Arial Narrow" w:cs="Arial"/>
                <w:sz w:val="16"/>
                <w:szCs w:val="16"/>
              </w:rPr>
              <w:t>a través de</w:t>
            </w:r>
            <w:r w:rsidRPr="0084377F">
              <w:rPr>
                <w:rFonts w:ascii="Arial Narrow" w:hAnsi="Arial Narrow" w:cs="Arial"/>
                <w:bCs/>
                <w:sz w:val="16"/>
                <w:szCs w:val="16"/>
              </w:rPr>
              <w:t xml:space="preserve"> su página de Internet</w:t>
            </w:r>
            <w:r w:rsidR="004B37CC">
              <w:rPr>
                <w:rFonts w:ascii="Arial Narrow" w:hAnsi="Arial Narrow" w:cs="Arial"/>
                <w:bCs/>
                <w:sz w:val="16"/>
                <w:szCs w:val="16"/>
              </w:rPr>
              <w:t>,</w:t>
            </w:r>
            <w:r w:rsidR="00C707F2"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C707F2" w:rsidRPr="0084377F">
              <w:rPr>
                <w:rFonts w:ascii="Arial Narrow" w:hAnsi="Arial Narrow" w:cs="Arial"/>
                <w:bCs/>
                <w:sz w:val="16"/>
                <w:szCs w:val="16"/>
              </w:rPr>
              <w:t>Título Quinto de la Ley General de Contabilidad Gubernamental.</w:t>
            </w:r>
          </w:p>
        </w:tc>
      </w:tr>
      <w:tr w:rsidR="00BE0121" w:rsidRPr="0084377F" w:rsidTr="00080EFC">
        <w:trPr>
          <w:trHeight w:val="2524"/>
        </w:trPr>
        <w:tc>
          <w:tcPr>
            <w:tcW w:w="567" w:type="dxa"/>
            <w:shd w:val="clear" w:color="auto" w:fill="auto"/>
            <w:vAlign w:val="center"/>
          </w:tcPr>
          <w:p w:rsidR="00BE0121" w:rsidRPr="0084377F" w:rsidRDefault="00AD7B43" w:rsidP="00BE0121">
            <w:pPr>
              <w:jc w:val="center"/>
              <w:rPr>
                <w:rFonts w:ascii="Arial Narrow" w:hAnsi="Arial Narrow" w:cs="Arial"/>
                <w:bCs/>
                <w:sz w:val="16"/>
                <w:szCs w:val="16"/>
              </w:rPr>
            </w:pPr>
            <w:r>
              <w:rPr>
                <w:rFonts w:ascii="Arial Narrow" w:hAnsi="Arial Narrow" w:cs="Arial"/>
                <w:bCs/>
                <w:sz w:val="16"/>
                <w:szCs w:val="16"/>
              </w:rPr>
              <w:lastRenderedPageBreak/>
              <w:t>7</w:t>
            </w:r>
            <w:r w:rsidR="00BE0121" w:rsidRPr="0084377F">
              <w:rPr>
                <w:rFonts w:ascii="Arial Narrow" w:hAnsi="Arial Narrow" w:cs="Arial"/>
                <w:bCs/>
                <w:sz w:val="16"/>
                <w:szCs w:val="16"/>
              </w:rPr>
              <w:t>.2</w:t>
            </w:r>
          </w:p>
        </w:tc>
        <w:tc>
          <w:tcPr>
            <w:tcW w:w="1418" w:type="dxa"/>
            <w:shd w:val="clear" w:color="auto" w:fill="auto"/>
            <w:vAlign w:val="center"/>
          </w:tcPr>
          <w:p w:rsidR="00BE0121" w:rsidRPr="0084377F" w:rsidRDefault="00C707F2" w:rsidP="00CD6F07">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Verificar que las Entidades de Fiscalización</w:t>
            </w:r>
            <w:r w:rsidR="00BE0121" w:rsidRPr="0084377F">
              <w:rPr>
                <w:rFonts w:ascii="Arial Narrow" w:hAnsi="Arial Narrow" w:cs="Arial"/>
                <w:bCs/>
                <w:sz w:val="16"/>
                <w:szCs w:val="16"/>
              </w:rPr>
              <w:t>, a más tardar el último día hábil de abril, tengan publicado su Presupuesto de Egresos, de conformidad con el Titulo Quinto de la Ley General de Contabilidad Gubernamental.</w:t>
            </w:r>
          </w:p>
          <w:p w:rsidR="00BE0121" w:rsidRPr="0084377F" w:rsidRDefault="00BE0121" w:rsidP="00CD6F07">
            <w:pPr>
              <w:spacing w:before="60" w:after="60"/>
              <w:jc w:val="both"/>
              <w:rPr>
                <w:rFonts w:ascii="Arial Narrow" w:hAnsi="Arial Narrow" w:cs="Arial"/>
                <w:bCs/>
                <w:sz w:val="16"/>
                <w:szCs w:val="16"/>
              </w:rPr>
            </w:pPr>
          </w:p>
        </w:tc>
        <w:tc>
          <w:tcPr>
            <w:tcW w:w="5386" w:type="dxa"/>
            <w:shd w:val="clear" w:color="auto" w:fill="auto"/>
            <w:vAlign w:val="center"/>
          </w:tcPr>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Documentación:</w:t>
            </w:r>
          </w:p>
          <w:p w:rsidR="00BE0121" w:rsidRPr="0084377F" w:rsidRDefault="00BE0121" w:rsidP="00CD6F07">
            <w:pPr>
              <w:pStyle w:val="Encabezado"/>
              <w:numPr>
                <w:ilvl w:val="0"/>
                <w:numId w:val="18"/>
              </w:numPr>
              <w:ind w:left="216" w:hanging="216"/>
              <w:jc w:val="both"/>
              <w:rPr>
                <w:rFonts w:ascii="Arial Narrow" w:hAnsi="Arial Narrow" w:cs="Arial"/>
                <w:bCs/>
                <w:sz w:val="16"/>
                <w:szCs w:val="16"/>
              </w:rPr>
            </w:pPr>
            <w:r w:rsidRPr="0084377F">
              <w:rPr>
                <w:rFonts w:ascii="Arial Narrow" w:hAnsi="Arial Narrow" w:cs="Arial"/>
                <w:bCs/>
                <w:sz w:val="16"/>
                <w:szCs w:val="16"/>
              </w:rPr>
              <w:t xml:space="preserve">Liga a página de Internet, capturas de </w:t>
            </w:r>
            <w:r w:rsidR="00C707F2" w:rsidRPr="0084377F">
              <w:rPr>
                <w:rFonts w:ascii="Arial Narrow" w:hAnsi="Arial Narrow" w:cs="Arial"/>
                <w:bCs/>
                <w:sz w:val="16"/>
                <w:szCs w:val="16"/>
              </w:rPr>
              <w:t>pantalla, archivos digitales o i</w:t>
            </w:r>
            <w:r w:rsidRPr="0084377F">
              <w:rPr>
                <w:rFonts w:ascii="Arial Narrow" w:hAnsi="Arial Narrow" w:cs="Arial"/>
                <w:bCs/>
                <w:sz w:val="16"/>
                <w:szCs w:val="16"/>
              </w:rPr>
              <w:t>mágenes.</w:t>
            </w:r>
          </w:p>
          <w:p w:rsidR="00CD6F07" w:rsidRPr="0012002E" w:rsidRDefault="00CD6F07" w:rsidP="00CD6F07">
            <w:pPr>
              <w:pStyle w:val="Encabezado"/>
              <w:numPr>
                <w:ilvl w:val="0"/>
                <w:numId w:val="18"/>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Pr>
                <w:rFonts w:ascii="Arial Narrow" w:hAnsi="Arial Narrow" w:cs="Arial"/>
                <w:bCs/>
                <w:sz w:val="16"/>
                <w:szCs w:val="16"/>
              </w:rPr>
              <w:t>.</w:t>
            </w:r>
          </w:p>
          <w:p w:rsidR="00BE0121" w:rsidRPr="00CD6F07" w:rsidRDefault="00BE0121" w:rsidP="00CD6F07">
            <w:pPr>
              <w:spacing w:before="60" w:after="60"/>
              <w:jc w:val="both"/>
              <w:rPr>
                <w:rFonts w:ascii="Arial Narrow" w:hAnsi="Arial Narrow" w:cs="Arial"/>
                <w:bCs/>
                <w:sz w:val="8"/>
                <w:szCs w:val="8"/>
              </w:rPr>
            </w:pPr>
          </w:p>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Aplicación del procedimiento:</w:t>
            </w:r>
          </w:p>
          <w:p w:rsidR="00C707F2" w:rsidRPr="0084377F" w:rsidRDefault="00BE0121" w:rsidP="00CD6F07">
            <w:pPr>
              <w:pStyle w:val="Encabezado"/>
              <w:spacing w:before="60" w:after="60"/>
              <w:jc w:val="both"/>
              <w:rPr>
                <w:rFonts w:ascii="Arial Narrow" w:hAnsi="Arial Narrow" w:cs="Arial"/>
                <w:bCs/>
                <w:sz w:val="16"/>
                <w:szCs w:val="16"/>
              </w:rPr>
            </w:pPr>
            <w:r w:rsidRPr="0084377F">
              <w:rPr>
                <w:rFonts w:ascii="Arial Narrow" w:hAnsi="Arial Narrow" w:cs="Arial"/>
                <w:bCs/>
                <w:sz w:val="16"/>
                <w:szCs w:val="16"/>
              </w:rPr>
              <w:t xml:space="preserve">1. Solicitar </w:t>
            </w:r>
            <w:r w:rsidR="00C707F2" w:rsidRPr="0084377F">
              <w:rPr>
                <w:rFonts w:ascii="Arial Narrow" w:hAnsi="Arial Narrow" w:cs="Arial"/>
                <w:bCs/>
                <w:sz w:val="16"/>
                <w:szCs w:val="16"/>
              </w:rPr>
              <w:t>a las Entidades Fiscalizadas la fecha de publicación de su Presupuesto de Egresos</w:t>
            </w:r>
            <w:r w:rsidR="004B37CC">
              <w:rPr>
                <w:rFonts w:ascii="Arial Narrow" w:hAnsi="Arial Narrow" w:cs="Arial"/>
                <w:bCs/>
                <w:sz w:val="16"/>
                <w:szCs w:val="16"/>
              </w:rPr>
              <w:t>,</w:t>
            </w:r>
            <w:r w:rsidR="00C707F2"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C707F2" w:rsidRPr="0084377F">
              <w:rPr>
                <w:rFonts w:ascii="Arial Narrow" w:hAnsi="Arial Narrow" w:cs="Arial"/>
                <w:bCs/>
                <w:sz w:val="16"/>
                <w:szCs w:val="16"/>
              </w:rPr>
              <w:t>Título Quinto de la Ley General de Contabilidad Gubernamental.</w:t>
            </w:r>
          </w:p>
          <w:p w:rsidR="00BE0121" w:rsidRPr="0084377F" w:rsidRDefault="00BE0121" w:rsidP="00CD6F07">
            <w:pPr>
              <w:pStyle w:val="Encabezado"/>
              <w:spacing w:before="60" w:after="60"/>
              <w:jc w:val="both"/>
              <w:rPr>
                <w:rFonts w:ascii="Arial Narrow" w:hAnsi="Arial Narrow" w:cs="Arial"/>
                <w:sz w:val="16"/>
                <w:szCs w:val="16"/>
              </w:rPr>
            </w:pPr>
            <w:r w:rsidRPr="0084377F">
              <w:rPr>
                <w:rFonts w:ascii="Arial Narrow" w:hAnsi="Arial Narrow" w:cs="Arial"/>
                <w:sz w:val="16"/>
                <w:szCs w:val="16"/>
              </w:rPr>
              <w:t xml:space="preserve">2. Solicitar a la Entidad Fiscalizada la liga de su página de Internet a través de la cual </w:t>
            </w:r>
            <w:r w:rsidR="00C707F2" w:rsidRPr="0084377F">
              <w:rPr>
                <w:rFonts w:ascii="Arial Narrow" w:hAnsi="Arial Narrow" w:cs="Arial"/>
                <w:sz w:val="16"/>
                <w:szCs w:val="16"/>
              </w:rPr>
              <w:t>fue</w:t>
            </w:r>
            <w:r w:rsidRPr="0084377F">
              <w:rPr>
                <w:rFonts w:ascii="Arial Narrow" w:hAnsi="Arial Narrow" w:cs="Arial"/>
                <w:sz w:val="16"/>
                <w:szCs w:val="16"/>
              </w:rPr>
              <w:t xml:space="preserve"> publicada la información.</w:t>
            </w:r>
          </w:p>
          <w:p w:rsidR="00BE0121" w:rsidRPr="0084377F" w:rsidRDefault="00BE0121" w:rsidP="00CD6F07">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3. Solicitar la evidencia de la publicación de su Presupuesto de Egresos, de conformidad con el Titulo Quinto de la Ley General de Contabilidad Gubernamental.</w:t>
            </w:r>
          </w:p>
          <w:p w:rsidR="00BE0121" w:rsidRPr="0084377F" w:rsidRDefault="00BE0121" w:rsidP="00CD6F07">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Verificar si:</w:t>
            </w:r>
          </w:p>
          <w:p w:rsidR="00BE0121" w:rsidRPr="0084377F" w:rsidRDefault="00BE0121" w:rsidP="00CD6F07">
            <w:pPr>
              <w:spacing w:before="60" w:after="60"/>
              <w:jc w:val="both"/>
              <w:rPr>
                <w:rFonts w:ascii="Arial Narrow" w:hAnsi="Arial Narrow" w:cs="Arial"/>
                <w:bCs/>
                <w:sz w:val="16"/>
                <w:szCs w:val="16"/>
              </w:rPr>
            </w:pPr>
            <w:r w:rsidRPr="0084377F">
              <w:rPr>
                <w:rFonts w:ascii="Arial Narrow" w:hAnsi="Arial Narrow" w:cs="Arial"/>
                <w:bCs/>
                <w:sz w:val="16"/>
                <w:szCs w:val="16"/>
              </w:rPr>
              <w:t>a) El presupuesto de egresos publicado incluye el listado de programas, así como sus indicadores estratégicos y de gestión aprobados</w:t>
            </w:r>
            <w:r w:rsidRPr="0084377F">
              <w:rPr>
                <w:rFonts w:ascii="Arial Narrow" w:hAnsi="Arial Narrow" w:cs="Arial"/>
                <w:bCs/>
                <w:sz w:val="16"/>
                <w:szCs w:val="16"/>
              </w:rPr>
              <w:tab/>
            </w:r>
          </w:p>
          <w:p w:rsidR="00BE0121" w:rsidRPr="0084377F" w:rsidRDefault="00BE0121" w:rsidP="00CD6F07">
            <w:pPr>
              <w:spacing w:before="60" w:after="60"/>
              <w:jc w:val="both"/>
              <w:rPr>
                <w:rFonts w:ascii="Arial Narrow" w:hAnsi="Arial Narrow" w:cs="Arial"/>
                <w:bCs/>
                <w:sz w:val="16"/>
                <w:szCs w:val="16"/>
              </w:rPr>
            </w:pPr>
            <w:r w:rsidRPr="0084377F">
              <w:rPr>
                <w:rFonts w:ascii="Arial Narrow" w:hAnsi="Arial Narrow" w:cs="Arial"/>
                <w:bCs/>
                <w:sz w:val="16"/>
                <w:szCs w:val="16"/>
              </w:rPr>
              <w:t>b) El presupuesto de egresos publicado incluye la aplicación de los recursos conforme a las clasificaciones administrativa, funcional, programática y económica que faciliten el análisis para valorar la eficiencia y eficacia en el uso y destino de los recursos y sus resultados.</w:t>
            </w:r>
            <w:r w:rsidRPr="0084377F">
              <w:rPr>
                <w:rFonts w:ascii="Arial Narrow" w:hAnsi="Arial Narrow" w:cs="Arial"/>
                <w:bCs/>
                <w:sz w:val="16"/>
                <w:szCs w:val="16"/>
              </w:rPr>
              <w:tab/>
            </w:r>
          </w:p>
          <w:p w:rsidR="00BE0121" w:rsidRPr="0084377F" w:rsidRDefault="00BE0121" w:rsidP="00CD6F07">
            <w:pPr>
              <w:spacing w:before="60" w:after="60"/>
              <w:jc w:val="both"/>
              <w:rPr>
                <w:rFonts w:ascii="Arial Narrow" w:hAnsi="Arial Narrow" w:cs="Arial"/>
                <w:bCs/>
                <w:sz w:val="16"/>
                <w:szCs w:val="16"/>
              </w:rPr>
            </w:pPr>
            <w:r w:rsidRPr="0084377F">
              <w:rPr>
                <w:rFonts w:ascii="Arial Narrow" w:hAnsi="Arial Narrow" w:cs="Arial"/>
                <w:bCs/>
                <w:sz w:val="16"/>
                <w:szCs w:val="16"/>
              </w:rPr>
              <w:t>4. 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BE0121" w:rsidRPr="0084377F" w:rsidRDefault="00BE0121" w:rsidP="00CD6F07">
            <w:pPr>
              <w:spacing w:before="60" w:after="60"/>
              <w:jc w:val="both"/>
              <w:rPr>
                <w:rFonts w:ascii="Arial Narrow" w:hAnsi="Arial Narrow" w:cs="Arial"/>
                <w:bCs/>
                <w:sz w:val="8"/>
                <w:szCs w:val="8"/>
              </w:rPr>
            </w:pPr>
          </w:p>
          <w:p w:rsidR="00BE0121" w:rsidRPr="0084377F" w:rsidRDefault="00BE0121" w:rsidP="00CD6F07">
            <w:pPr>
              <w:spacing w:before="60" w:after="60"/>
              <w:jc w:val="both"/>
              <w:rPr>
                <w:rFonts w:ascii="Arial Narrow" w:hAnsi="Arial Narrow" w:cs="Arial"/>
                <w:b/>
                <w:bCs/>
                <w:i/>
                <w:sz w:val="16"/>
                <w:szCs w:val="16"/>
              </w:rPr>
            </w:pPr>
            <w:r w:rsidRPr="0084377F">
              <w:rPr>
                <w:rFonts w:ascii="Arial Narrow" w:hAnsi="Arial Narrow" w:cs="Arial"/>
                <w:b/>
                <w:bCs/>
                <w:i/>
                <w:sz w:val="16"/>
                <w:szCs w:val="16"/>
              </w:rPr>
              <w:t xml:space="preserve">Fecha de aplicación </w:t>
            </w:r>
          </w:p>
          <w:p w:rsidR="00BE0121" w:rsidRPr="0084377F" w:rsidRDefault="00CD6F07" w:rsidP="00CD6F07">
            <w:pPr>
              <w:spacing w:before="60" w:after="60"/>
              <w:jc w:val="both"/>
              <w:rPr>
                <w:rFonts w:ascii="Arial Narrow" w:hAnsi="Arial Narrow" w:cs="Arial"/>
                <w:bCs/>
                <w:sz w:val="16"/>
                <w:szCs w:val="16"/>
              </w:rPr>
            </w:pPr>
            <w:r w:rsidRPr="0084377F">
              <w:rPr>
                <w:rFonts w:ascii="Arial Narrow" w:hAnsi="Arial Narrow" w:cs="Arial"/>
                <w:bCs/>
                <w:sz w:val="16"/>
                <w:szCs w:val="16"/>
              </w:rPr>
              <w:t>Al concluir</w:t>
            </w:r>
            <w:r>
              <w:rPr>
                <w:rFonts w:ascii="Arial Narrow" w:hAnsi="Arial Narrow" w:cs="Arial"/>
                <w:bCs/>
                <w:sz w:val="16"/>
                <w:szCs w:val="16"/>
              </w:rPr>
              <w:t xml:space="preserve"> el mes de abril del ejercicio que se revisa.</w:t>
            </w: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3119" w:type="dxa"/>
            <w:shd w:val="clear" w:color="auto" w:fill="auto"/>
            <w:vAlign w:val="center"/>
          </w:tcPr>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positivo.</w:t>
            </w:r>
          </w:p>
          <w:p w:rsidR="00EF7711" w:rsidRDefault="00BE0121" w:rsidP="00CD6F07">
            <w:pPr>
              <w:pStyle w:val="Prrafodelista"/>
              <w:spacing w:before="60" w:after="60"/>
              <w:ind w:left="0"/>
              <w:contextualSpacing w:val="0"/>
              <w:jc w:val="both"/>
              <w:rPr>
                <w:rFonts w:ascii="Arial Narrow" w:hAnsi="Arial Narrow" w:cs="Arial"/>
                <w:sz w:val="16"/>
                <w:szCs w:val="16"/>
              </w:rPr>
            </w:pPr>
            <w:r w:rsidRPr="0084377F">
              <w:rPr>
                <w:rFonts w:ascii="Arial Narrow" w:hAnsi="Arial Narrow" w:cs="Arial"/>
                <w:bCs/>
                <w:sz w:val="16"/>
                <w:szCs w:val="16"/>
              </w:rPr>
              <w:t xml:space="preserve">1. La Entidad Fiscalizada publica en su página de Internet su Presupuesto de Egresos, </w:t>
            </w:r>
            <w:r w:rsidR="00DF595A" w:rsidRPr="0084377F">
              <w:rPr>
                <w:rFonts w:ascii="Arial Narrow" w:hAnsi="Arial Narrow" w:cs="Arial"/>
                <w:bCs/>
                <w:sz w:val="16"/>
                <w:szCs w:val="16"/>
              </w:rPr>
              <w:t>que incluye el listado de programas, así como sus indicadores estratégicos y de gestión aprobados</w:t>
            </w:r>
            <w:r w:rsidR="004B37CC">
              <w:rPr>
                <w:rFonts w:ascii="Arial Narrow" w:hAnsi="Arial Narrow" w:cs="Arial"/>
                <w:bCs/>
                <w:sz w:val="16"/>
                <w:szCs w:val="16"/>
              </w:rPr>
              <w:t>,</w:t>
            </w:r>
            <w:r w:rsidR="00DF595A"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DF595A" w:rsidRPr="0084377F">
              <w:rPr>
                <w:rFonts w:ascii="Arial Narrow" w:hAnsi="Arial Narrow" w:cs="Arial"/>
                <w:bCs/>
                <w:sz w:val="16"/>
                <w:szCs w:val="16"/>
              </w:rPr>
              <w:t>Título Quinto de la Ley General de Contabilidad Gubernamental</w:t>
            </w:r>
            <w:r w:rsidR="00EF7711">
              <w:rPr>
                <w:rFonts w:ascii="Arial Narrow" w:hAnsi="Arial Narrow" w:cs="Arial"/>
                <w:bCs/>
                <w:sz w:val="16"/>
                <w:szCs w:val="16"/>
              </w:rPr>
              <w:t>.</w:t>
            </w:r>
          </w:p>
          <w:p w:rsidR="00CD6F07" w:rsidRPr="0084377F" w:rsidRDefault="00CD6F07" w:rsidP="00CD6F07">
            <w:pPr>
              <w:pStyle w:val="Prrafodelista"/>
              <w:spacing w:before="60" w:after="60"/>
              <w:ind w:left="0"/>
              <w:contextualSpacing w:val="0"/>
              <w:jc w:val="both"/>
              <w:rPr>
                <w:rFonts w:ascii="Arial Narrow" w:hAnsi="Arial Narrow" w:cs="Arial"/>
                <w:bCs/>
                <w:sz w:val="16"/>
                <w:szCs w:val="16"/>
              </w:rPr>
            </w:pPr>
            <w:r>
              <w:rPr>
                <w:rFonts w:ascii="Arial Narrow" w:hAnsi="Arial Narrow" w:cs="Arial"/>
                <w:bCs/>
                <w:sz w:val="16"/>
                <w:szCs w:val="16"/>
              </w:rPr>
              <w:t xml:space="preserve">2. </w:t>
            </w:r>
            <w:r w:rsidRPr="0084377F">
              <w:rPr>
                <w:rFonts w:ascii="Arial Narrow" w:hAnsi="Arial Narrow" w:cs="Arial"/>
                <w:bCs/>
                <w:sz w:val="16"/>
                <w:szCs w:val="16"/>
              </w:rPr>
              <w:t>El presupuesto de egresos publicado incluye la aplicación de los recursos conforme a las clasificaciones administrativa, funcional, programática y económica que faciliten el análisis para valorar la eficiencia y eficacia en el uso y destino de los recursos y sus resultados.</w:t>
            </w:r>
            <w:r w:rsidRPr="0084377F">
              <w:rPr>
                <w:rFonts w:ascii="Arial Narrow" w:hAnsi="Arial Narrow" w:cs="Arial"/>
                <w:bCs/>
                <w:sz w:val="16"/>
                <w:szCs w:val="16"/>
              </w:rPr>
              <w:tab/>
            </w:r>
          </w:p>
          <w:p w:rsidR="00BE0121" w:rsidRPr="0084377F" w:rsidRDefault="00BE0121" w:rsidP="00CD6F07">
            <w:pPr>
              <w:pStyle w:val="Prrafodelista"/>
              <w:spacing w:before="60" w:after="60"/>
              <w:ind w:left="0"/>
              <w:contextualSpacing w:val="0"/>
              <w:jc w:val="both"/>
              <w:rPr>
                <w:rFonts w:ascii="Arial Narrow" w:hAnsi="Arial Narrow" w:cs="Arial"/>
                <w:bCs/>
                <w:sz w:val="8"/>
                <w:szCs w:val="8"/>
              </w:rPr>
            </w:pPr>
          </w:p>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negativo.</w:t>
            </w:r>
          </w:p>
          <w:p w:rsidR="00EF7711" w:rsidRDefault="00BE0121" w:rsidP="00CD6F07">
            <w:pPr>
              <w:pStyle w:val="Prrafodelista"/>
              <w:spacing w:before="60" w:after="60"/>
              <w:ind w:left="0"/>
              <w:contextualSpacing w:val="0"/>
              <w:jc w:val="both"/>
              <w:rPr>
                <w:rFonts w:ascii="Arial Narrow" w:hAnsi="Arial Narrow" w:cs="Arial"/>
                <w:sz w:val="16"/>
                <w:szCs w:val="16"/>
              </w:rPr>
            </w:pPr>
            <w:r w:rsidRPr="0084377F">
              <w:rPr>
                <w:rFonts w:ascii="Arial Narrow" w:hAnsi="Arial Narrow" w:cs="Arial"/>
                <w:color w:val="000000"/>
                <w:sz w:val="16"/>
                <w:szCs w:val="16"/>
              </w:rPr>
              <w:t>1.</w:t>
            </w:r>
            <w:r w:rsidR="00EF7711">
              <w:rPr>
                <w:rFonts w:ascii="Arial Narrow" w:hAnsi="Arial Narrow" w:cs="Arial"/>
                <w:color w:val="000000"/>
                <w:sz w:val="16"/>
                <w:szCs w:val="16"/>
              </w:rPr>
              <w:t xml:space="preserve"> </w:t>
            </w:r>
            <w:r w:rsidR="00EF7711" w:rsidRPr="0084377F">
              <w:rPr>
                <w:rFonts w:ascii="Arial Narrow" w:hAnsi="Arial Narrow" w:cs="Arial"/>
                <w:bCs/>
                <w:sz w:val="16"/>
                <w:szCs w:val="16"/>
              </w:rPr>
              <w:t xml:space="preserve">La Entidad Fiscalizada </w:t>
            </w:r>
            <w:r w:rsidR="00EF7711">
              <w:rPr>
                <w:rFonts w:ascii="Arial Narrow" w:hAnsi="Arial Narrow" w:cs="Arial"/>
                <w:b/>
                <w:bCs/>
                <w:sz w:val="16"/>
                <w:szCs w:val="16"/>
              </w:rPr>
              <w:t xml:space="preserve">no </w:t>
            </w:r>
            <w:r w:rsidR="00EF7711" w:rsidRPr="0084377F">
              <w:rPr>
                <w:rFonts w:ascii="Arial Narrow" w:hAnsi="Arial Narrow" w:cs="Arial"/>
                <w:bCs/>
                <w:sz w:val="16"/>
                <w:szCs w:val="16"/>
              </w:rPr>
              <w:t xml:space="preserve">publica en su página de Internet su Presupuesto de Egresos, </w:t>
            </w:r>
            <w:r w:rsidR="00EF7711">
              <w:rPr>
                <w:rFonts w:ascii="Arial Narrow" w:hAnsi="Arial Narrow" w:cs="Arial"/>
                <w:bCs/>
                <w:sz w:val="16"/>
                <w:szCs w:val="16"/>
              </w:rPr>
              <w:t>que incluya</w:t>
            </w:r>
            <w:r w:rsidR="00EF7711" w:rsidRPr="0084377F">
              <w:rPr>
                <w:rFonts w:ascii="Arial Narrow" w:hAnsi="Arial Narrow" w:cs="Arial"/>
                <w:bCs/>
                <w:sz w:val="16"/>
                <w:szCs w:val="16"/>
              </w:rPr>
              <w:t xml:space="preserve"> el listado de programas, así como sus indicadores estratégicos y de gestión aprobados</w:t>
            </w:r>
            <w:r w:rsidR="00EF7711">
              <w:rPr>
                <w:rFonts w:ascii="Arial Narrow" w:hAnsi="Arial Narrow" w:cs="Arial"/>
                <w:bCs/>
                <w:sz w:val="16"/>
                <w:szCs w:val="16"/>
              </w:rPr>
              <w:t>,</w:t>
            </w:r>
            <w:r w:rsidR="00EF7711"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EF7711" w:rsidRPr="0084377F">
              <w:rPr>
                <w:rFonts w:ascii="Arial Narrow" w:hAnsi="Arial Narrow" w:cs="Arial"/>
                <w:bCs/>
                <w:sz w:val="16"/>
                <w:szCs w:val="16"/>
              </w:rPr>
              <w:t>Título Quinto de la Ley General de Contabilidad Gubernamental</w:t>
            </w:r>
            <w:r w:rsidR="00EF7711">
              <w:rPr>
                <w:rFonts w:ascii="Arial Narrow" w:hAnsi="Arial Narrow" w:cs="Arial"/>
                <w:bCs/>
                <w:sz w:val="16"/>
                <w:szCs w:val="16"/>
              </w:rPr>
              <w:t>.</w:t>
            </w:r>
          </w:p>
          <w:p w:rsidR="00BE0121" w:rsidRPr="0084377F" w:rsidRDefault="00EF7711" w:rsidP="00F04424">
            <w:pPr>
              <w:pStyle w:val="Prrafodelista"/>
              <w:spacing w:before="60" w:after="60"/>
              <w:ind w:left="0"/>
              <w:contextualSpacing w:val="0"/>
              <w:jc w:val="both"/>
              <w:rPr>
                <w:rFonts w:ascii="Arial Narrow" w:hAnsi="Arial Narrow" w:cs="Arial"/>
                <w:color w:val="000000"/>
                <w:sz w:val="16"/>
                <w:szCs w:val="16"/>
              </w:rPr>
            </w:pPr>
            <w:r>
              <w:rPr>
                <w:rFonts w:ascii="Arial Narrow" w:hAnsi="Arial Narrow" w:cs="Arial"/>
                <w:color w:val="000000"/>
                <w:sz w:val="16"/>
                <w:szCs w:val="16"/>
              </w:rPr>
              <w:t>1a.</w:t>
            </w:r>
            <w:r w:rsidR="00BE0121" w:rsidRPr="0084377F">
              <w:rPr>
                <w:rFonts w:ascii="Arial Narrow" w:hAnsi="Arial Narrow" w:cs="Arial"/>
                <w:color w:val="000000"/>
                <w:sz w:val="16"/>
                <w:szCs w:val="16"/>
              </w:rPr>
              <w:t xml:space="preserve"> </w:t>
            </w:r>
            <w:r w:rsidR="00CD6F07" w:rsidRPr="0084377F">
              <w:rPr>
                <w:rFonts w:ascii="Arial Narrow" w:hAnsi="Arial Narrow" w:cs="Arial"/>
                <w:bCs/>
                <w:sz w:val="16"/>
                <w:szCs w:val="16"/>
              </w:rPr>
              <w:t>La Entidad Fiscalizada publica en su página de Internet su Presupuesto de Egresos, que incluye el listado de programas, así como sus indicadores estratégicos y de gestión aprobados</w:t>
            </w:r>
            <w:r w:rsidR="00CD6F07">
              <w:rPr>
                <w:rFonts w:ascii="Arial Narrow" w:hAnsi="Arial Narrow" w:cs="Arial"/>
                <w:bCs/>
                <w:sz w:val="16"/>
                <w:szCs w:val="16"/>
              </w:rPr>
              <w:t>,</w:t>
            </w:r>
            <w:r w:rsidR="00CD6F07"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CD6F07" w:rsidRPr="0084377F">
              <w:rPr>
                <w:rFonts w:ascii="Arial Narrow" w:hAnsi="Arial Narrow" w:cs="Arial"/>
                <w:bCs/>
                <w:sz w:val="16"/>
                <w:szCs w:val="16"/>
              </w:rPr>
              <w:t>Título Quinto de la Ley General de Contabilidad Gubernamental</w:t>
            </w:r>
            <w:r w:rsidR="00CD6F07">
              <w:rPr>
                <w:rFonts w:ascii="Arial Narrow" w:hAnsi="Arial Narrow" w:cs="Arial"/>
                <w:bCs/>
                <w:sz w:val="16"/>
                <w:szCs w:val="16"/>
              </w:rPr>
              <w:t xml:space="preserve">, sin embargo, el </w:t>
            </w:r>
            <w:r w:rsidR="00CD6F07" w:rsidRPr="0084377F">
              <w:rPr>
                <w:rFonts w:ascii="Arial Narrow" w:hAnsi="Arial Narrow" w:cs="Arial"/>
                <w:bCs/>
                <w:sz w:val="16"/>
                <w:szCs w:val="16"/>
              </w:rPr>
              <w:t xml:space="preserve">presupuesto de egresos publicado </w:t>
            </w:r>
            <w:r w:rsidR="00CD6F07">
              <w:rPr>
                <w:rFonts w:ascii="Arial Narrow" w:hAnsi="Arial Narrow" w:cs="Arial"/>
                <w:b/>
                <w:bCs/>
                <w:sz w:val="16"/>
                <w:szCs w:val="16"/>
              </w:rPr>
              <w:t xml:space="preserve">no </w:t>
            </w:r>
            <w:r w:rsidR="00CD6F07" w:rsidRPr="0084377F">
              <w:rPr>
                <w:rFonts w:ascii="Arial Narrow" w:hAnsi="Arial Narrow" w:cs="Arial"/>
                <w:bCs/>
                <w:sz w:val="16"/>
                <w:szCs w:val="16"/>
              </w:rPr>
              <w:t>incluye la aplicación de los recursos conforme a las clasificaciones administrativa, funcional, programática y económica que faciliten el análisis para valorar la eficiencia y eficacia en el uso y destino de los recursos y sus resultados</w:t>
            </w:r>
            <w:r w:rsidR="00CD6F07">
              <w:rPr>
                <w:rFonts w:ascii="Arial Narrow" w:hAnsi="Arial Narrow" w:cs="Arial"/>
                <w:bCs/>
                <w:sz w:val="16"/>
                <w:szCs w:val="16"/>
              </w:rPr>
              <w:t>.</w:t>
            </w:r>
          </w:p>
        </w:tc>
        <w:tc>
          <w:tcPr>
            <w:tcW w:w="1984"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r w:rsidRPr="0084377F">
              <w:rPr>
                <w:rFonts w:ascii="Arial Narrow" w:hAnsi="Arial Narrow" w:cs="Arial"/>
                <w:b/>
                <w:sz w:val="16"/>
                <w:szCs w:val="16"/>
              </w:rPr>
              <w:t>(</w:t>
            </w:r>
            <w:r w:rsidR="005B4ABA" w:rsidRPr="0084377F">
              <w:rPr>
                <w:rFonts w:ascii="Arial Narrow" w:hAnsi="Arial Narrow" w:cs="Arial"/>
                <w:b/>
                <w:sz w:val="16"/>
                <w:szCs w:val="16"/>
              </w:rPr>
              <w:t>Só</w:t>
            </w:r>
            <w:r w:rsidRPr="0084377F">
              <w:rPr>
                <w:rFonts w:ascii="Arial Narrow" w:hAnsi="Arial Narrow" w:cs="Arial"/>
                <w:b/>
                <w:sz w:val="16"/>
                <w:szCs w:val="16"/>
              </w:rPr>
              <w:t>lo en caso de resultado negativo)</w:t>
            </w:r>
          </w:p>
          <w:p w:rsidR="00EF7711" w:rsidRDefault="00EF7711" w:rsidP="00EF7711">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 xml:space="preserve">1. La Entidad Fiscalizada </w:t>
            </w:r>
            <w:r>
              <w:rPr>
                <w:rFonts w:ascii="Arial Narrow" w:hAnsi="Arial Narrow" w:cs="Arial"/>
                <w:bCs/>
                <w:sz w:val="16"/>
                <w:szCs w:val="16"/>
              </w:rPr>
              <w:t xml:space="preserve">deberá </w:t>
            </w:r>
            <w:r w:rsidRPr="0084377F">
              <w:rPr>
                <w:rFonts w:ascii="Arial Narrow" w:hAnsi="Arial Narrow" w:cs="Arial"/>
                <w:bCs/>
                <w:sz w:val="16"/>
                <w:szCs w:val="16"/>
              </w:rPr>
              <w:t>publica</w:t>
            </w:r>
            <w:r>
              <w:rPr>
                <w:rFonts w:ascii="Arial Narrow" w:hAnsi="Arial Narrow" w:cs="Arial"/>
                <w:bCs/>
                <w:sz w:val="16"/>
                <w:szCs w:val="16"/>
              </w:rPr>
              <w:t>r</w:t>
            </w:r>
            <w:r w:rsidRPr="0084377F">
              <w:rPr>
                <w:rFonts w:ascii="Arial Narrow" w:hAnsi="Arial Narrow" w:cs="Arial"/>
                <w:bCs/>
                <w:sz w:val="16"/>
                <w:szCs w:val="16"/>
              </w:rPr>
              <w:t xml:space="preserve"> en su página de Internet su Presupuesto de Egresos, que incluy</w:t>
            </w:r>
            <w:r>
              <w:rPr>
                <w:rFonts w:ascii="Arial Narrow" w:hAnsi="Arial Narrow" w:cs="Arial"/>
                <w:bCs/>
                <w:sz w:val="16"/>
                <w:szCs w:val="16"/>
              </w:rPr>
              <w:t>a</w:t>
            </w:r>
            <w:r w:rsidRPr="0084377F">
              <w:rPr>
                <w:rFonts w:ascii="Arial Narrow" w:hAnsi="Arial Narrow" w:cs="Arial"/>
                <w:bCs/>
                <w:sz w:val="16"/>
                <w:szCs w:val="16"/>
              </w:rPr>
              <w:t xml:space="preserve"> el listado de programas, así como sus indicadores estratégicos y de gestión aprobados</w:t>
            </w:r>
            <w:r>
              <w:rPr>
                <w:rFonts w:ascii="Arial Narrow" w:hAnsi="Arial Narrow" w:cs="Arial"/>
                <w:bCs/>
                <w:sz w:val="16"/>
                <w:szCs w:val="16"/>
              </w:rPr>
              <w:t>,</w:t>
            </w:r>
            <w:r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Pr="0084377F">
              <w:rPr>
                <w:rFonts w:ascii="Arial Narrow" w:hAnsi="Arial Narrow" w:cs="Arial"/>
                <w:bCs/>
                <w:sz w:val="16"/>
                <w:szCs w:val="16"/>
              </w:rPr>
              <w:t>Título Quinto de la Ley General de Contabilidad Gubernamental</w:t>
            </w:r>
            <w:r>
              <w:rPr>
                <w:rFonts w:ascii="Arial Narrow" w:hAnsi="Arial Narrow" w:cs="Arial"/>
                <w:bCs/>
                <w:sz w:val="16"/>
                <w:szCs w:val="16"/>
              </w:rPr>
              <w:t>.</w:t>
            </w:r>
          </w:p>
          <w:p w:rsidR="00BE0121" w:rsidRPr="0084377F" w:rsidRDefault="00EF7711" w:rsidP="00EF7711">
            <w:pPr>
              <w:pStyle w:val="Encabezado"/>
              <w:spacing w:before="60" w:after="60"/>
              <w:jc w:val="both"/>
              <w:rPr>
                <w:rFonts w:ascii="Arial Narrow" w:hAnsi="Arial Narrow" w:cs="Arial"/>
                <w:sz w:val="16"/>
                <w:szCs w:val="16"/>
              </w:rPr>
            </w:pPr>
            <w:r w:rsidRPr="0084377F">
              <w:rPr>
                <w:rFonts w:ascii="Arial Narrow" w:hAnsi="Arial Narrow" w:cs="Arial"/>
                <w:bCs/>
                <w:sz w:val="16"/>
                <w:szCs w:val="16"/>
              </w:rPr>
              <w:t xml:space="preserve">El presupuesto de egresos publicado </w:t>
            </w:r>
            <w:r>
              <w:rPr>
                <w:rFonts w:ascii="Arial Narrow" w:hAnsi="Arial Narrow" w:cs="Arial"/>
                <w:bCs/>
                <w:sz w:val="16"/>
                <w:szCs w:val="16"/>
              </w:rPr>
              <w:t xml:space="preserve">deberá </w:t>
            </w:r>
            <w:r w:rsidRPr="0084377F">
              <w:rPr>
                <w:rFonts w:ascii="Arial Narrow" w:hAnsi="Arial Narrow" w:cs="Arial"/>
                <w:bCs/>
                <w:sz w:val="16"/>
                <w:szCs w:val="16"/>
              </w:rPr>
              <w:t>inclu</w:t>
            </w:r>
            <w:r>
              <w:rPr>
                <w:rFonts w:ascii="Arial Narrow" w:hAnsi="Arial Narrow" w:cs="Arial"/>
                <w:bCs/>
                <w:sz w:val="16"/>
                <w:szCs w:val="16"/>
              </w:rPr>
              <w:t>ir</w:t>
            </w:r>
            <w:r w:rsidRPr="0084377F">
              <w:rPr>
                <w:rFonts w:ascii="Arial Narrow" w:hAnsi="Arial Narrow" w:cs="Arial"/>
                <w:bCs/>
                <w:sz w:val="16"/>
                <w:szCs w:val="16"/>
              </w:rPr>
              <w:t xml:space="preserve"> la aplicación de los recursos conforme a las clasificaciones administrativa, funcional, programática y económica que faciliten el análisis para valorar la eficiencia y eficacia en el uso y destino de los recursos y sus resultados.</w:t>
            </w:r>
          </w:p>
        </w:tc>
      </w:tr>
      <w:tr w:rsidR="00BE0121" w:rsidRPr="0084377F" w:rsidTr="00080EFC">
        <w:trPr>
          <w:trHeight w:val="3009"/>
        </w:trPr>
        <w:tc>
          <w:tcPr>
            <w:tcW w:w="567" w:type="dxa"/>
            <w:shd w:val="clear" w:color="auto" w:fill="auto"/>
            <w:vAlign w:val="center"/>
          </w:tcPr>
          <w:p w:rsidR="00BE0121" w:rsidRPr="0084377F" w:rsidRDefault="00AD7B43" w:rsidP="00BE0121">
            <w:pPr>
              <w:jc w:val="center"/>
              <w:rPr>
                <w:rFonts w:ascii="Arial Narrow" w:hAnsi="Arial Narrow" w:cs="Arial"/>
                <w:bCs/>
                <w:sz w:val="16"/>
                <w:szCs w:val="16"/>
              </w:rPr>
            </w:pPr>
            <w:r>
              <w:rPr>
                <w:rFonts w:ascii="Arial Narrow" w:hAnsi="Arial Narrow" w:cs="Arial"/>
                <w:bCs/>
                <w:sz w:val="16"/>
                <w:szCs w:val="16"/>
              </w:rPr>
              <w:lastRenderedPageBreak/>
              <w:t>7</w:t>
            </w:r>
            <w:r w:rsidR="00BE0121" w:rsidRPr="0084377F">
              <w:rPr>
                <w:rFonts w:ascii="Arial Narrow" w:hAnsi="Arial Narrow" w:cs="Arial"/>
                <w:bCs/>
                <w:sz w:val="16"/>
                <w:szCs w:val="16"/>
              </w:rPr>
              <w:t>.3</w:t>
            </w:r>
          </w:p>
        </w:tc>
        <w:tc>
          <w:tcPr>
            <w:tcW w:w="1418" w:type="dxa"/>
            <w:shd w:val="clear" w:color="auto" w:fill="auto"/>
            <w:vAlign w:val="center"/>
          </w:tcPr>
          <w:p w:rsidR="00BE0121" w:rsidRPr="0084377F" w:rsidRDefault="00BE0121" w:rsidP="00F04424">
            <w:pPr>
              <w:spacing w:before="60" w:after="60"/>
              <w:jc w:val="both"/>
              <w:rPr>
                <w:rFonts w:ascii="Arial Narrow" w:hAnsi="Arial Narrow" w:cs="Arial"/>
                <w:bCs/>
                <w:sz w:val="16"/>
                <w:szCs w:val="16"/>
              </w:rPr>
            </w:pPr>
            <w:r w:rsidRPr="0084377F">
              <w:rPr>
                <w:rFonts w:ascii="Arial Narrow" w:hAnsi="Arial Narrow" w:cs="Arial"/>
                <w:bCs/>
                <w:sz w:val="16"/>
                <w:szCs w:val="16"/>
              </w:rPr>
              <w:t>Verificar que a más tardar a los 30 días posteriores a la conclusión de las evaluaciones</w:t>
            </w:r>
            <w:r w:rsidR="004B37CC">
              <w:rPr>
                <w:rFonts w:ascii="Arial Narrow" w:hAnsi="Arial Narrow" w:cs="Arial"/>
                <w:bCs/>
                <w:sz w:val="16"/>
                <w:szCs w:val="16"/>
              </w:rPr>
              <w:t>,</w:t>
            </w:r>
            <w:r w:rsidRPr="0084377F">
              <w:rPr>
                <w:rFonts w:ascii="Arial Narrow" w:hAnsi="Arial Narrow" w:cs="Arial"/>
                <w:bCs/>
                <w:sz w:val="16"/>
                <w:szCs w:val="16"/>
              </w:rPr>
              <w:t xml:space="preserve"> se</w:t>
            </w:r>
            <w:r w:rsidR="00DF595A" w:rsidRPr="0084377F">
              <w:rPr>
                <w:rFonts w:ascii="Arial Narrow" w:hAnsi="Arial Narrow" w:cs="Arial"/>
                <w:bCs/>
                <w:sz w:val="16"/>
                <w:szCs w:val="16"/>
              </w:rPr>
              <w:t xml:space="preserve"> publiquen</w:t>
            </w:r>
            <w:r w:rsidRPr="0084377F">
              <w:rPr>
                <w:rFonts w:ascii="Arial Narrow" w:hAnsi="Arial Narrow" w:cs="Arial"/>
                <w:bCs/>
                <w:sz w:val="16"/>
                <w:szCs w:val="16"/>
              </w:rPr>
              <w:t xml:space="preserve"> los resultados de la mismas</w:t>
            </w:r>
            <w:r w:rsidR="004B37CC">
              <w:rPr>
                <w:rFonts w:ascii="Arial Narrow" w:hAnsi="Arial Narrow" w:cs="Arial"/>
                <w:bCs/>
                <w:sz w:val="16"/>
                <w:szCs w:val="16"/>
              </w:rPr>
              <w:t>,</w:t>
            </w:r>
            <w:r w:rsidR="00DF595A" w:rsidRPr="0084377F">
              <w:rPr>
                <w:rFonts w:ascii="Arial Narrow" w:hAnsi="Arial Narrow" w:cs="Arial"/>
                <w:bCs/>
                <w:sz w:val="16"/>
                <w:szCs w:val="16"/>
              </w:rPr>
              <w:t xml:space="preserve"> de conformidad </w:t>
            </w:r>
            <w:r w:rsidR="00F04424">
              <w:rPr>
                <w:rFonts w:ascii="Arial Narrow" w:hAnsi="Arial Narrow" w:cs="Arial"/>
                <w:bCs/>
                <w:sz w:val="16"/>
                <w:szCs w:val="16"/>
              </w:rPr>
              <w:t>con el</w:t>
            </w:r>
            <w:r w:rsidR="00DF595A" w:rsidRPr="0084377F">
              <w:rPr>
                <w:rFonts w:ascii="Arial Narrow" w:hAnsi="Arial Narrow" w:cs="Arial"/>
                <w:bCs/>
                <w:sz w:val="16"/>
                <w:szCs w:val="16"/>
              </w:rPr>
              <w:t xml:space="preserve"> Título Quinto de la Ley General de Contabilidad Gubernamental</w:t>
            </w:r>
            <w:r w:rsidR="00DF595A" w:rsidRPr="0084377F">
              <w:rPr>
                <w:rFonts w:ascii="Arial Narrow" w:hAnsi="Arial Narrow" w:cs="Arial"/>
                <w:sz w:val="16"/>
                <w:szCs w:val="16"/>
              </w:rPr>
              <w:t>, a través de</w:t>
            </w:r>
            <w:r w:rsidR="00DF595A" w:rsidRPr="0084377F">
              <w:rPr>
                <w:rFonts w:ascii="Arial Narrow" w:hAnsi="Arial Narrow" w:cs="Arial"/>
                <w:bCs/>
                <w:sz w:val="16"/>
                <w:szCs w:val="16"/>
              </w:rPr>
              <w:t xml:space="preserve"> su página de Internet.</w:t>
            </w:r>
          </w:p>
        </w:tc>
        <w:tc>
          <w:tcPr>
            <w:tcW w:w="5386" w:type="dxa"/>
            <w:shd w:val="clear" w:color="auto" w:fill="auto"/>
            <w:vAlign w:val="center"/>
          </w:tcPr>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Documentación:</w:t>
            </w:r>
          </w:p>
          <w:p w:rsidR="00BE0121" w:rsidRPr="0084377F" w:rsidRDefault="00BE0121" w:rsidP="005832A2">
            <w:pPr>
              <w:pStyle w:val="Encabezado"/>
              <w:numPr>
                <w:ilvl w:val="0"/>
                <w:numId w:val="18"/>
              </w:numPr>
              <w:ind w:left="216" w:hanging="216"/>
              <w:jc w:val="both"/>
              <w:rPr>
                <w:rFonts w:ascii="Arial Narrow" w:hAnsi="Arial Narrow" w:cs="Arial"/>
                <w:bCs/>
                <w:sz w:val="16"/>
                <w:szCs w:val="16"/>
              </w:rPr>
            </w:pPr>
            <w:r w:rsidRPr="0084377F">
              <w:rPr>
                <w:rFonts w:ascii="Arial Narrow" w:hAnsi="Arial Narrow" w:cs="Arial"/>
                <w:bCs/>
                <w:sz w:val="16"/>
                <w:szCs w:val="16"/>
              </w:rPr>
              <w:t xml:space="preserve">Liga a página de Internet, capturas de </w:t>
            </w:r>
            <w:r w:rsidR="00DF595A" w:rsidRPr="0084377F">
              <w:rPr>
                <w:rFonts w:ascii="Arial Narrow" w:hAnsi="Arial Narrow" w:cs="Arial"/>
                <w:bCs/>
                <w:sz w:val="16"/>
                <w:szCs w:val="16"/>
              </w:rPr>
              <w:t>pantalla, archivos digitales o i</w:t>
            </w:r>
            <w:r w:rsidRPr="0084377F">
              <w:rPr>
                <w:rFonts w:ascii="Arial Narrow" w:hAnsi="Arial Narrow" w:cs="Arial"/>
                <w:bCs/>
                <w:sz w:val="16"/>
                <w:szCs w:val="16"/>
              </w:rPr>
              <w:t>mágenes.</w:t>
            </w:r>
          </w:p>
          <w:p w:rsidR="005832A2" w:rsidRPr="0012002E" w:rsidRDefault="005832A2" w:rsidP="005832A2">
            <w:pPr>
              <w:pStyle w:val="Encabezado"/>
              <w:numPr>
                <w:ilvl w:val="0"/>
                <w:numId w:val="18"/>
              </w:numPr>
              <w:ind w:left="216" w:hanging="216"/>
              <w:jc w:val="both"/>
              <w:rPr>
                <w:rFonts w:ascii="Arial Narrow" w:hAnsi="Arial Narrow" w:cs="Arial"/>
                <w:bCs/>
                <w:sz w:val="16"/>
                <w:szCs w:val="16"/>
              </w:rPr>
            </w:pPr>
            <w:r w:rsidRPr="001965B4">
              <w:rPr>
                <w:rFonts w:ascii="Arial Narrow" w:hAnsi="Arial Narrow" w:cs="Arial"/>
                <w:bCs/>
                <w:sz w:val="16"/>
                <w:szCs w:val="16"/>
              </w:rPr>
              <w:t>La demás documentación que el Auditor Externo considere necesaria para llegar a los resultados establecidos para el procedimiento</w:t>
            </w:r>
            <w:r>
              <w:rPr>
                <w:rFonts w:ascii="Arial Narrow" w:hAnsi="Arial Narrow" w:cs="Arial"/>
                <w:bCs/>
                <w:sz w:val="16"/>
                <w:szCs w:val="16"/>
              </w:rPr>
              <w:t>.</w:t>
            </w:r>
          </w:p>
          <w:p w:rsidR="00BE0121" w:rsidRPr="005832A2" w:rsidRDefault="00BE0121" w:rsidP="00CD6F07">
            <w:pPr>
              <w:pStyle w:val="Encabezado"/>
              <w:spacing w:before="60" w:after="60"/>
              <w:jc w:val="both"/>
              <w:rPr>
                <w:rFonts w:ascii="Arial Narrow" w:hAnsi="Arial Narrow" w:cs="Arial"/>
                <w:bCs/>
                <w:sz w:val="8"/>
                <w:szCs w:val="8"/>
              </w:rPr>
            </w:pPr>
          </w:p>
          <w:p w:rsidR="00BE0121" w:rsidRPr="0084377F" w:rsidRDefault="00BE0121" w:rsidP="00CD6F07">
            <w:pPr>
              <w:pStyle w:val="Encabezado"/>
              <w:spacing w:before="60" w:after="60"/>
              <w:jc w:val="both"/>
              <w:rPr>
                <w:rFonts w:ascii="Arial Narrow" w:hAnsi="Arial Narrow" w:cs="Arial"/>
                <w:b/>
                <w:i/>
                <w:sz w:val="16"/>
                <w:szCs w:val="16"/>
              </w:rPr>
            </w:pPr>
            <w:r w:rsidRPr="0084377F">
              <w:rPr>
                <w:rFonts w:ascii="Arial Narrow" w:hAnsi="Arial Narrow" w:cs="Arial"/>
                <w:b/>
                <w:i/>
                <w:sz w:val="16"/>
                <w:szCs w:val="16"/>
              </w:rPr>
              <w:t>Aplicación del procedimiento:</w:t>
            </w:r>
          </w:p>
          <w:p w:rsidR="00DF595A" w:rsidRPr="0084377F" w:rsidRDefault="005832A2" w:rsidP="00CD6F07">
            <w:pPr>
              <w:pStyle w:val="Encabezado"/>
              <w:spacing w:before="60" w:after="60"/>
              <w:jc w:val="both"/>
              <w:rPr>
                <w:rFonts w:ascii="Arial Narrow" w:hAnsi="Arial Narrow" w:cs="Arial"/>
                <w:bCs/>
                <w:sz w:val="16"/>
                <w:szCs w:val="16"/>
              </w:rPr>
            </w:pPr>
            <w:r>
              <w:rPr>
                <w:rFonts w:ascii="Arial Narrow" w:hAnsi="Arial Narrow" w:cs="Arial"/>
                <w:bCs/>
                <w:sz w:val="16"/>
                <w:szCs w:val="16"/>
              </w:rPr>
              <w:t xml:space="preserve">1. </w:t>
            </w:r>
            <w:r w:rsidR="00BE0121" w:rsidRPr="0084377F">
              <w:rPr>
                <w:rFonts w:ascii="Arial Narrow" w:hAnsi="Arial Narrow" w:cs="Arial"/>
                <w:bCs/>
                <w:sz w:val="16"/>
                <w:szCs w:val="16"/>
              </w:rPr>
              <w:t xml:space="preserve">Solicitar a la Entidad Fiscalizada </w:t>
            </w:r>
            <w:r w:rsidR="00DF595A" w:rsidRPr="0084377F">
              <w:rPr>
                <w:rFonts w:ascii="Arial Narrow" w:hAnsi="Arial Narrow" w:cs="Arial"/>
                <w:bCs/>
                <w:sz w:val="16"/>
                <w:szCs w:val="16"/>
              </w:rPr>
              <w:t>las fechas de publicación de los resultados de las evaluaciones derivadas de su Programa Anual de Evaluación</w:t>
            </w:r>
            <w:r w:rsidR="004B37CC">
              <w:rPr>
                <w:rFonts w:ascii="Arial Narrow" w:hAnsi="Arial Narrow" w:cs="Arial"/>
                <w:bCs/>
                <w:sz w:val="16"/>
                <w:szCs w:val="16"/>
              </w:rPr>
              <w:t>,</w:t>
            </w:r>
            <w:r w:rsidR="00DF595A" w:rsidRPr="0084377F">
              <w:rPr>
                <w:rFonts w:ascii="Arial Narrow" w:hAnsi="Arial Narrow" w:cs="Arial"/>
                <w:bCs/>
                <w:sz w:val="16"/>
                <w:szCs w:val="16"/>
              </w:rPr>
              <w:t xml:space="preserve"> de conformidad </w:t>
            </w:r>
            <w:r w:rsidR="00F04424">
              <w:rPr>
                <w:rFonts w:ascii="Arial Narrow" w:hAnsi="Arial Narrow" w:cs="Arial"/>
                <w:bCs/>
                <w:sz w:val="16"/>
                <w:szCs w:val="16"/>
              </w:rPr>
              <w:t xml:space="preserve">con el </w:t>
            </w:r>
            <w:r w:rsidR="00DF595A" w:rsidRPr="0084377F">
              <w:rPr>
                <w:rFonts w:ascii="Arial Narrow" w:hAnsi="Arial Narrow" w:cs="Arial"/>
                <w:bCs/>
                <w:sz w:val="16"/>
                <w:szCs w:val="16"/>
              </w:rPr>
              <w:t>Título Quinto de la Ley General de Contabilidad Gubernamental.</w:t>
            </w:r>
          </w:p>
          <w:p w:rsidR="00BE0121" w:rsidRPr="0084377F" w:rsidRDefault="005832A2" w:rsidP="005832A2">
            <w:pPr>
              <w:pStyle w:val="Prrafodelista"/>
              <w:spacing w:before="60" w:after="60"/>
              <w:ind w:left="0"/>
              <w:contextualSpacing w:val="0"/>
              <w:jc w:val="both"/>
              <w:rPr>
                <w:rFonts w:ascii="Arial Narrow" w:hAnsi="Arial Narrow" w:cs="Arial"/>
                <w:sz w:val="16"/>
                <w:szCs w:val="16"/>
              </w:rPr>
            </w:pPr>
            <w:r>
              <w:rPr>
                <w:rFonts w:ascii="Arial Narrow" w:hAnsi="Arial Narrow" w:cs="Arial"/>
                <w:sz w:val="16"/>
                <w:szCs w:val="16"/>
              </w:rPr>
              <w:t xml:space="preserve">2. </w:t>
            </w:r>
            <w:r w:rsidR="00BE0121" w:rsidRPr="0084377F">
              <w:rPr>
                <w:rFonts w:ascii="Arial Narrow" w:hAnsi="Arial Narrow" w:cs="Arial"/>
                <w:sz w:val="16"/>
                <w:szCs w:val="16"/>
              </w:rPr>
              <w:t>Solicitar a la Entidad Fiscalizada la liga de su página de Internet donde este publicada la información.</w:t>
            </w:r>
          </w:p>
          <w:p w:rsidR="00BE0121" w:rsidRPr="0084377F" w:rsidRDefault="005832A2" w:rsidP="005832A2">
            <w:pPr>
              <w:pStyle w:val="Prrafodelista"/>
              <w:spacing w:before="60" w:after="60"/>
              <w:ind w:left="0"/>
              <w:contextualSpacing w:val="0"/>
              <w:jc w:val="both"/>
              <w:rPr>
                <w:rFonts w:ascii="Arial Narrow" w:hAnsi="Arial Narrow" w:cs="Arial"/>
                <w:sz w:val="16"/>
                <w:szCs w:val="16"/>
              </w:rPr>
            </w:pPr>
            <w:r>
              <w:rPr>
                <w:rFonts w:ascii="Arial Narrow" w:hAnsi="Arial Narrow" w:cs="Arial"/>
                <w:bCs/>
                <w:sz w:val="16"/>
                <w:szCs w:val="16"/>
              </w:rPr>
              <w:t xml:space="preserve">3. </w:t>
            </w:r>
            <w:r w:rsidR="00BE0121" w:rsidRPr="0084377F">
              <w:rPr>
                <w:rFonts w:ascii="Arial Narrow" w:hAnsi="Arial Narrow" w:cs="Arial"/>
                <w:bCs/>
                <w:sz w:val="16"/>
                <w:szCs w:val="16"/>
              </w:rPr>
              <w:t>Solicitar la evidencia de la publicación de los resultados de las evaluaciones de conformidad con el Titulo Quinto de la ley General de Contabilidad Gubernamental.</w:t>
            </w:r>
          </w:p>
          <w:p w:rsidR="00BE0121" w:rsidRPr="005832A2" w:rsidRDefault="005832A2" w:rsidP="005832A2">
            <w:pPr>
              <w:pStyle w:val="Prrafodelista"/>
              <w:spacing w:before="60" w:after="60"/>
              <w:ind w:left="0"/>
              <w:contextualSpacing w:val="0"/>
              <w:jc w:val="both"/>
              <w:rPr>
                <w:rFonts w:ascii="Arial Narrow" w:hAnsi="Arial Narrow" w:cs="Arial"/>
                <w:sz w:val="16"/>
                <w:szCs w:val="16"/>
              </w:rPr>
            </w:pPr>
            <w:r>
              <w:rPr>
                <w:rFonts w:ascii="Arial Narrow" w:hAnsi="Arial Narrow" w:cs="Arial"/>
                <w:sz w:val="16"/>
                <w:szCs w:val="16"/>
              </w:rPr>
              <w:t xml:space="preserve">4. </w:t>
            </w:r>
            <w:r w:rsidR="00BE0121" w:rsidRPr="0084377F">
              <w:rPr>
                <w:rFonts w:ascii="Arial Narrow" w:hAnsi="Arial Narrow" w:cs="Arial"/>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BE0121" w:rsidRPr="005832A2" w:rsidRDefault="00BE0121" w:rsidP="00CD6F07">
            <w:pPr>
              <w:pStyle w:val="Prrafodelista"/>
              <w:spacing w:before="60" w:after="60"/>
              <w:ind w:left="0"/>
              <w:contextualSpacing w:val="0"/>
              <w:jc w:val="both"/>
              <w:rPr>
                <w:rFonts w:ascii="Arial Narrow" w:hAnsi="Arial Narrow" w:cs="Arial"/>
                <w:sz w:val="8"/>
                <w:szCs w:val="8"/>
              </w:rPr>
            </w:pPr>
          </w:p>
          <w:p w:rsidR="00BE0121" w:rsidRPr="0084377F" w:rsidRDefault="00BE0121" w:rsidP="00CD6F07">
            <w:pPr>
              <w:spacing w:before="60" w:after="60"/>
              <w:jc w:val="both"/>
              <w:rPr>
                <w:rFonts w:ascii="Arial Narrow" w:hAnsi="Arial Narrow" w:cs="Arial"/>
                <w:b/>
                <w:i/>
                <w:sz w:val="16"/>
                <w:szCs w:val="16"/>
              </w:rPr>
            </w:pPr>
            <w:r w:rsidRPr="0084377F">
              <w:rPr>
                <w:rFonts w:ascii="Arial Narrow" w:hAnsi="Arial Narrow" w:cs="Arial"/>
                <w:b/>
                <w:i/>
                <w:sz w:val="16"/>
                <w:szCs w:val="16"/>
              </w:rPr>
              <w:t>Fecha de aplicación</w:t>
            </w:r>
          </w:p>
          <w:p w:rsidR="00BE0121" w:rsidRPr="0084377F" w:rsidRDefault="00BE0121" w:rsidP="00CD6F07">
            <w:pPr>
              <w:spacing w:before="60" w:after="60"/>
              <w:jc w:val="both"/>
              <w:rPr>
                <w:rFonts w:ascii="Arial Narrow" w:hAnsi="Arial Narrow" w:cs="Arial"/>
                <w:bCs/>
                <w:sz w:val="16"/>
                <w:szCs w:val="16"/>
              </w:rPr>
            </w:pPr>
            <w:r w:rsidRPr="0084377F">
              <w:rPr>
                <w:rFonts w:ascii="Arial Narrow" w:hAnsi="Arial Narrow" w:cs="Arial"/>
                <w:sz w:val="16"/>
                <w:szCs w:val="16"/>
              </w:rPr>
              <w:t xml:space="preserve">A los 30 días de las fechas para presentar las evaluaciones programadas en su </w:t>
            </w:r>
            <w:r w:rsidR="00DF595A" w:rsidRPr="0084377F">
              <w:rPr>
                <w:rFonts w:ascii="Arial Narrow" w:hAnsi="Arial Narrow" w:cs="Arial"/>
                <w:sz w:val="16"/>
                <w:szCs w:val="16"/>
              </w:rPr>
              <w:t>Programa Anual de Evaluación y al concluir cada uno de los trimestres del ejercicio que se revisa.</w:t>
            </w: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567" w:type="dxa"/>
            <w:shd w:val="clear" w:color="auto" w:fill="auto"/>
            <w:vAlign w:val="center"/>
          </w:tcPr>
          <w:p w:rsidR="00BE0121" w:rsidRPr="0084377F" w:rsidRDefault="00BE0121" w:rsidP="00CD6F07">
            <w:pPr>
              <w:spacing w:before="60" w:after="60"/>
              <w:jc w:val="both"/>
              <w:rPr>
                <w:rFonts w:ascii="Arial Narrow" w:hAnsi="Arial Narrow" w:cs="Arial"/>
                <w:b/>
                <w:sz w:val="16"/>
                <w:szCs w:val="16"/>
              </w:rPr>
            </w:pPr>
          </w:p>
        </w:tc>
        <w:tc>
          <w:tcPr>
            <w:tcW w:w="3119" w:type="dxa"/>
            <w:shd w:val="clear" w:color="auto" w:fill="auto"/>
            <w:vAlign w:val="center"/>
          </w:tcPr>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positivo.</w:t>
            </w:r>
          </w:p>
          <w:p w:rsidR="00BE0121" w:rsidRPr="0084377F" w:rsidRDefault="00BE0121" w:rsidP="00CD6F07">
            <w:pPr>
              <w:pStyle w:val="Prrafodelista"/>
              <w:spacing w:before="60" w:after="60"/>
              <w:ind w:left="0"/>
              <w:contextualSpacing w:val="0"/>
              <w:jc w:val="both"/>
              <w:rPr>
                <w:rFonts w:ascii="Arial Narrow" w:hAnsi="Arial Narrow" w:cs="Arial"/>
                <w:bCs/>
                <w:sz w:val="16"/>
                <w:szCs w:val="16"/>
              </w:rPr>
            </w:pPr>
            <w:r w:rsidRPr="0084377F">
              <w:rPr>
                <w:rFonts w:ascii="Arial Narrow" w:hAnsi="Arial Narrow" w:cs="Arial"/>
                <w:bCs/>
                <w:sz w:val="16"/>
                <w:szCs w:val="16"/>
              </w:rPr>
              <w:t>1. La Entidad Fiscalizada publica en su página de Internet</w:t>
            </w:r>
            <w:r w:rsidR="004B37CC">
              <w:rPr>
                <w:rFonts w:ascii="Arial Narrow" w:hAnsi="Arial Narrow" w:cs="Arial"/>
                <w:bCs/>
                <w:sz w:val="16"/>
                <w:szCs w:val="16"/>
              </w:rPr>
              <w:t>,</w:t>
            </w:r>
            <w:r w:rsidRPr="0084377F">
              <w:rPr>
                <w:rFonts w:ascii="Arial Narrow" w:hAnsi="Arial Narrow" w:cs="Arial"/>
                <w:bCs/>
                <w:sz w:val="16"/>
                <w:szCs w:val="16"/>
              </w:rPr>
              <w:t xml:space="preserve"> los resultados de las evaluaciones derivados de su Programa Anual de Evaluación, de conformidad con el Titulo Quinto de la Ley General de Contabilidad Gubernamental.</w:t>
            </w:r>
          </w:p>
          <w:p w:rsidR="00BE0121" w:rsidRPr="0084377F" w:rsidRDefault="00BE0121" w:rsidP="00CD6F07">
            <w:pPr>
              <w:pStyle w:val="Prrafodelista"/>
              <w:spacing w:before="60" w:after="60"/>
              <w:ind w:left="0"/>
              <w:contextualSpacing w:val="0"/>
              <w:jc w:val="both"/>
              <w:rPr>
                <w:rFonts w:ascii="Arial Narrow" w:hAnsi="Arial Narrow" w:cs="Arial"/>
                <w:bCs/>
                <w:sz w:val="8"/>
                <w:szCs w:val="8"/>
              </w:rPr>
            </w:pPr>
          </w:p>
          <w:p w:rsidR="00BE0121" w:rsidRPr="0084377F" w:rsidRDefault="00BE0121" w:rsidP="00CD6F07">
            <w:pPr>
              <w:spacing w:before="60" w:after="60"/>
              <w:jc w:val="both"/>
              <w:rPr>
                <w:rFonts w:ascii="Arial Narrow" w:hAnsi="Arial Narrow" w:cs="Arial"/>
                <w:b/>
                <w:color w:val="000000"/>
                <w:sz w:val="16"/>
                <w:szCs w:val="16"/>
              </w:rPr>
            </w:pPr>
            <w:r w:rsidRPr="0084377F">
              <w:rPr>
                <w:rFonts w:ascii="Arial Narrow" w:hAnsi="Arial Narrow" w:cs="Arial"/>
                <w:b/>
                <w:color w:val="000000"/>
                <w:sz w:val="16"/>
                <w:szCs w:val="16"/>
              </w:rPr>
              <w:t>Resultado negativo.</w:t>
            </w:r>
          </w:p>
          <w:p w:rsidR="00BE0121" w:rsidRPr="0084377F" w:rsidRDefault="00BE0121" w:rsidP="00CD6F07">
            <w:pPr>
              <w:pStyle w:val="Prrafodelista"/>
              <w:spacing w:before="60" w:after="60"/>
              <w:ind w:left="0"/>
              <w:contextualSpacing w:val="0"/>
              <w:jc w:val="both"/>
              <w:rPr>
                <w:rFonts w:ascii="Arial Narrow" w:hAnsi="Arial Narrow" w:cs="Arial"/>
                <w:b/>
                <w:color w:val="000000"/>
                <w:sz w:val="16"/>
                <w:szCs w:val="16"/>
              </w:rPr>
            </w:pPr>
            <w:r w:rsidRPr="0084377F">
              <w:rPr>
                <w:rFonts w:ascii="Arial Narrow" w:hAnsi="Arial Narrow" w:cs="Arial"/>
                <w:bCs/>
                <w:sz w:val="16"/>
                <w:szCs w:val="16"/>
              </w:rPr>
              <w:t xml:space="preserve">1. La Entidad Fiscalizada </w:t>
            </w:r>
            <w:r w:rsidRPr="0084377F">
              <w:rPr>
                <w:rFonts w:ascii="Arial Narrow" w:hAnsi="Arial Narrow" w:cs="Arial"/>
                <w:b/>
                <w:bCs/>
                <w:sz w:val="16"/>
                <w:szCs w:val="16"/>
              </w:rPr>
              <w:t>no</w:t>
            </w:r>
            <w:r w:rsidRPr="0084377F">
              <w:rPr>
                <w:rFonts w:ascii="Arial Narrow" w:hAnsi="Arial Narrow" w:cs="Arial"/>
                <w:bCs/>
                <w:sz w:val="16"/>
                <w:szCs w:val="16"/>
              </w:rPr>
              <w:t xml:space="preserve"> publica en su página de Internet los resultados de las evaluaciones derivados de su Programa Anual de Evaluación, de conformidad con el Titulo Quinto de la Ley General de Contabilidad Gubernamental.</w:t>
            </w:r>
          </w:p>
        </w:tc>
        <w:tc>
          <w:tcPr>
            <w:tcW w:w="1984" w:type="dxa"/>
            <w:shd w:val="clear" w:color="auto" w:fill="auto"/>
            <w:vAlign w:val="center"/>
          </w:tcPr>
          <w:p w:rsidR="00BE0121" w:rsidRPr="0084377F" w:rsidRDefault="00BE0121" w:rsidP="00CD6F07">
            <w:pPr>
              <w:spacing w:before="60" w:after="60"/>
              <w:jc w:val="both"/>
              <w:rPr>
                <w:rFonts w:ascii="Arial Narrow" w:hAnsi="Arial Narrow" w:cs="Arial"/>
                <w:sz w:val="16"/>
                <w:szCs w:val="16"/>
              </w:rPr>
            </w:pPr>
          </w:p>
          <w:p w:rsidR="00BE0121" w:rsidRPr="0084377F" w:rsidRDefault="00BE0121" w:rsidP="00CD6F07">
            <w:pPr>
              <w:spacing w:before="60" w:after="60"/>
              <w:jc w:val="both"/>
              <w:rPr>
                <w:rFonts w:ascii="Arial Narrow" w:hAnsi="Arial Narrow" w:cs="Arial"/>
                <w:b/>
                <w:sz w:val="16"/>
                <w:szCs w:val="16"/>
              </w:rPr>
            </w:pPr>
            <w:r w:rsidRPr="0084377F">
              <w:rPr>
                <w:rFonts w:ascii="Arial Narrow" w:hAnsi="Arial Narrow" w:cs="Arial"/>
                <w:b/>
                <w:sz w:val="16"/>
                <w:szCs w:val="16"/>
              </w:rPr>
              <w:t>(Solo en caso de resultado negativo)</w:t>
            </w:r>
          </w:p>
          <w:p w:rsidR="00DF595A" w:rsidRPr="0084377F" w:rsidRDefault="00BE0121" w:rsidP="00CD6F07">
            <w:pPr>
              <w:pStyle w:val="Encabezado"/>
              <w:spacing w:before="60" w:after="60"/>
              <w:jc w:val="both"/>
              <w:rPr>
                <w:rFonts w:ascii="Arial Narrow" w:hAnsi="Arial Narrow" w:cs="Arial"/>
                <w:bCs/>
                <w:sz w:val="16"/>
                <w:szCs w:val="16"/>
              </w:rPr>
            </w:pPr>
            <w:r w:rsidRPr="0084377F">
              <w:rPr>
                <w:rFonts w:ascii="Arial Narrow" w:hAnsi="Arial Narrow" w:cs="Arial"/>
                <w:sz w:val="16"/>
                <w:szCs w:val="16"/>
              </w:rPr>
              <w:t xml:space="preserve">1. La Entidad Fiscalizada deberá publicar los resultados de las evaluaciones </w:t>
            </w:r>
            <w:r w:rsidRPr="0084377F">
              <w:rPr>
                <w:rFonts w:ascii="Arial Narrow" w:hAnsi="Arial Narrow" w:cs="Arial"/>
                <w:bCs/>
                <w:sz w:val="16"/>
                <w:szCs w:val="16"/>
              </w:rPr>
              <w:t>derivados de su Programa Anual de Evaluación, a través de su página de Internet</w:t>
            </w:r>
            <w:r w:rsidR="00DF595A" w:rsidRPr="0084377F">
              <w:rPr>
                <w:rFonts w:ascii="Arial Narrow" w:hAnsi="Arial Narrow" w:cs="Arial"/>
                <w:bCs/>
                <w:sz w:val="16"/>
                <w:szCs w:val="16"/>
              </w:rPr>
              <w:t>,</w:t>
            </w:r>
            <w:r w:rsidR="00DF595A" w:rsidRPr="0084377F">
              <w:rPr>
                <w:rFonts w:ascii="Arial Narrow" w:hAnsi="Arial Narrow" w:cs="Arial"/>
                <w:sz w:val="16"/>
                <w:szCs w:val="16"/>
              </w:rPr>
              <w:t xml:space="preserve"> </w:t>
            </w:r>
            <w:r w:rsidR="00DF595A" w:rsidRPr="0084377F">
              <w:rPr>
                <w:rFonts w:ascii="Arial Narrow" w:hAnsi="Arial Narrow" w:cs="Arial"/>
                <w:bCs/>
                <w:sz w:val="16"/>
                <w:szCs w:val="16"/>
              </w:rPr>
              <w:t xml:space="preserve">de conformidad </w:t>
            </w:r>
            <w:r w:rsidR="00F04424">
              <w:rPr>
                <w:rFonts w:ascii="Arial Narrow" w:hAnsi="Arial Narrow" w:cs="Arial"/>
                <w:bCs/>
                <w:sz w:val="16"/>
                <w:szCs w:val="16"/>
              </w:rPr>
              <w:t xml:space="preserve">con el </w:t>
            </w:r>
            <w:r w:rsidR="00DF595A" w:rsidRPr="0084377F">
              <w:rPr>
                <w:rFonts w:ascii="Arial Narrow" w:hAnsi="Arial Narrow" w:cs="Arial"/>
                <w:bCs/>
                <w:sz w:val="16"/>
                <w:szCs w:val="16"/>
              </w:rPr>
              <w:t>Título Quinto de la Ley General de Contabilidad Gubernamental.</w:t>
            </w:r>
          </w:p>
          <w:p w:rsidR="00BE0121" w:rsidRPr="0084377F" w:rsidRDefault="00BE0121" w:rsidP="00CD6F07">
            <w:pPr>
              <w:pStyle w:val="Prrafodelista"/>
              <w:spacing w:before="60" w:after="60"/>
              <w:ind w:left="0"/>
              <w:contextualSpacing w:val="0"/>
              <w:jc w:val="both"/>
              <w:rPr>
                <w:rFonts w:ascii="Arial Narrow" w:hAnsi="Arial Narrow" w:cs="Arial"/>
                <w:b/>
                <w:sz w:val="16"/>
                <w:szCs w:val="16"/>
              </w:rPr>
            </w:pPr>
          </w:p>
        </w:tc>
      </w:tr>
    </w:tbl>
    <w:p w:rsidR="008E6D6A" w:rsidRPr="0084377F" w:rsidRDefault="008E6D6A" w:rsidP="000A5351">
      <w:pPr>
        <w:jc w:val="right"/>
        <w:rPr>
          <w:rFonts w:ascii="Arial Narrow" w:hAnsi="Arial Narrow" w:cs="Arial"/>
          <w:b/>
          <w:sz w:val="16"/>
          <w:szCs w:val="16"/>
        </w:rPr>
      </w:pPr>
    </w:p>
    <w:p w:rsidR="0051218E" w:rsidRPr="0084377F" w:rsidRDefault="0051218E" w:rsidP="0051218E">
      <w:pPr>
        <w:jc w:val="both"/>
        <w:rPr>
          <w:rFonts w:ascii="Arial Narrow" w:hAnsi="Arial Narrow" w:cs="Arial"/>
          <w:b/>
          <w:sz w:val="16"/>
          <w:szCs w:val="16"/>
        </w:rPr>
      </w:pPr>
    </w:p>
    <w:p w:rsidR="0051218E" w:rsidRPr="0084377F" w:rsidRDefault="0051218E" w:rsidP="0051218E">
      <w:pPr>
        <w:jc w:val="both"/>
        <w:rPr>
          <w:rFonts w:ascii="Arial Narrow" w:hAnsi="Arial Narrow" w:cs="Arial"/>
          <w:b/>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51218E" w:rsidRPr="0084377F" w:rsidTr="00F902BD">
        <w:trPr>
          <w:trHeight w:val="491"/>
        </w:trPr>
        <w:tc>
          <w:tcPr>
            <w:tcW w:w="546" w:type="dxa"/>
          </w:tcPr>
          <w:p w:rsidR="0051218E" w:rsidRPr="0084377F" w:rsidRDefault="0051218E" w:rsidP="00F902BD">
            <w:pPr>
              <w:rPr>
                <w:rFonts w:ascii="Arial Narrow" w:hAnsi="Arial Narrow" w:cs="Arial"/>
                <w:sz w:val="16"/>
                <w:szCs w:val="16"/>
              </w:rPr>
            </w:pPr>
          </w:p>
        </w:tc>
        <w:tc>
          <w:tcPr>
            <w:tcW w:w="2701" w:type="dxa"/>
            <w:tcBorders>
              <w:bottom w:val="single" w:sz="4" w:space="0" w:color="auto"/>
            </w:tcBorders>
          </w:tcPr>
          <w:p w:rsidR="0051218E" w:rsidRPr="0084377F" w:rsidRDefault="0051218E" w:rsidP="00F902BD">
            <w:pPr>
              <w:jc w:val="center"/>
              <w:rPr>
                <w:rFonts w:ascii="Arial Narrow" w:hAnsi="Arial Narrow" w:cs="Arial"/>
                <w:sz w:val="16"/>
                <w:szCs w:val="16"/>
                <w:lang w:val="pt-BR"/>
              </w:rPr>
            </w:pPr>
            <w:r w:rsidRPr="0084377F">
              <w:rPr>
                <w:rFonts w:ascii="Arial Narrow" w:hAnsi="Arial Narrow" w:cs="Arial"/>
                <w:sz w:val="16"/>
                <w:szCs w:val="16"/>
                <w:lang w:val="pt-BR"/>
              </w:rPr>
              <w:t>Auditor Externo</w:t>
            </w:r>
          </w:p>
          <w:p w:rsidR="0051218E" w:rsidRPr="0084377F" w:rsidRDefault="0051218E" w:rsidP="00F902BD">
            <w:pPr>
              <w:jc w:val="center"/>
              <w:rPr>
                <w:rFonts w:ascii="Arial Narrow" w:hAnsi="Arial Narrow" w:cs="Arial"/>
                <w:sz w:val="16"/>
                <w:szCs w:val="16"/>
                <w:lang w:val="pt-BR"/>
              </w:rPr>
            </w:pPr>
          </w:p>
          <w:p w:rsidR="0051218E" w:rsidRPr="0084377F" w:rsidRDefault="0051218E" w:rsidP="00F902BD">
            <w:pPr>
              <w:jc w:val="center"/>
              <w:rPr>
                <w:rFonts w:ascii="Arial Narrow" w:hAnsi="Arial Narrow" w:cs="Arial"/>
                <w:sz w:val="16"/>
                <w:szCs w:val="16"/>
                <w:lang w:val="pt-BR"/>
              </w:rPr>
            </w:pPr>
          </w:p>
          <w:p w:rsidR="0051218E" w:rsidRPr="0084377F" w:rsidRDefault="0051218E" w:rsidP="00F902BD">
            <w:pPr>
              <w:jc w:val="center"/>
              <w:rPr>
                <w:rFonts w:ascii="Arial Narrow" w:hAnsi="Arial Narrow" w:cs="Arial"/>
                <w:sz w:val="16"/>
                <w:szCs w:val="16"/>
                <w:lang w:val="pt-BR"/>
              </w:rPr>
            </w:pPr>
          </w:p>
          <w:p w:rsidR="0051218E" w:rsidRPr="0084377F" w:rsidRDefault="0051218E" w:rsidP="00F902BD">
            <w:pPr>
              <w:jc w:val="center"/>
              <w:rPr>
                <w:rFonts w:ascii="Arial Narrow" w:hAnsi="Arial Narrow" w:cs="Arial"/>
                <w:sz w:val="16"/>
                <w:szCs w:val="16"/>
                <w:lang w:val="pt-BR"/>
              </w:rPr>
            </w:pPr>
          </w:p>
          <w:p w:rsidR="0051218E" w:rsidRPr="0084377F" w:rsidRDefault="0051218E" w:rsidP="00F902BD">
            <w:pPr>
              <w:jc w:val="center"/>
              <w:rPr>
                <w:rFonts w:ascii="Arial Narrow" w:hAnsi="Arial Narrow" w:cs="Arial"/>
                <w:sz w:val="16"/>
                <w:szCs w:val="16"/>
                <w:lang w:val="pt-BR"/>
              </w:rPr>
            </w:pPr>
          </w:p>
        </w:tc>
        <w:tc>
          <w:tcPr>
            <w:tcW w:w="1414" w:type="dxa"/>
          </w:tcPr>
          <w:p w:rsidR="0051218E" w:rsidRPr="0084377F" w:rsidRDefault="0051218E" w:rsidP="00F902BD">
            <w:pPr>
              <w:rPr>
                <w:rFonts w:ascii="Arial Narrow" w:hAnsi="Arial Narrow" w:cs="Arial"/>
                <w:sz w:val="16"/>
                <w:szCs w:val="16"/>
                <w:lang w:val="pt-BR"/>
              </w:rPr>
            </w:pPr>
          </w:p>
        </w:tc>
        <w:tc>
          <w:tcPr>
            <w:tcW w:w="3765" w:type="dxa"/>
            <w:tcBorders>
              <w:bottom w:val="single" w:sz="4" w:space="0" w:color="auto"/>
            </w:tcBorders>
          </w:tcPr>
          <w:p w:rsidR="0051218E" w:rsidRPr="0084377F" w:rsidRDefault="0051218E" w:rsidP="00F902BD">
            <w:pPr>
              <w:jc w:val="center"/>
              <w:rPr>
                <w:rFonts w:ascii="Arial Narrow" w:hAnsi="Arial Narrow" w:cs="Arial"/>
                <w:sz w:val="16"/>
                <w:szCs w:val="16"/>
              </w:rPr>
            </w:pPr>
            <w:r w:rsidRPr="0084377F">
              <w:rPr>
                <w:rFonts w:ascii="Arial Narrow" w:hAnsi="Arial Narrow" w:cs="Arial"/>
                <w:sz w:val="16"/>
                <w:szCs w:val="16"/>
              </w:rPr>
              <w:t>Titular de la Entidad Fiscalizada</w:t>
            </w:r>
          </w:p>
        </w:tc>
        <w:tc>
          <w:tcPr>
            <w:tcW w:w="1314" w:type="dxa"/>
          </w:tcPr>
          <w:p w:rsidR="0051218E" w:rsidRPr="0084377F" w:rsidRDefault="0051218E" w:rsidP="00F902BD">
            <w:pPr>
              <w:rPr>
                <w:rFonts w:ascii="Arial Narrow" w:hAnsi="Arial Narrow" w:cs="Arial"/>
                <w:sz w:val="16"/>
                <w:szCs w:val="16"/>
              </w:rPr>
            </w:pPr>
          </w:p>
        </w:tc>
        <w:tc>
          <w:tcPr>
            <w:tcW w:w="425" w:type="dxa"/>
          </w:tcPr>
          <w:p w:rsidR="0051218E" w:rsidRPr="0084377F" w:rsidRDefault="0051218E" w:rsidP="00F902BD">
            <w:pPr>
              <w:rPr>
                <w:rFonts w:ascii="Arial Narrow" w:hAnsi="Arial Narrow" w:cs="Arial"/>
                <w:sz w:val="16"/>
                <w:szCs w:val="16"/>
              </w:rPr>
            </w:pPr>
          </w:p>
        </w:tc>
      </w:tr>
      <w:tr w:rsidR="0051218E" w:rsidRPr="0084377F" w:rsidTr="00F902BD">
        <w:trPr>
          <w:trHeight w:val="59"/>
        </w:trPr>
        <w:tc>
          <w:tcPr>
            <w:tcW w:w="546" w:type="dxa"/>
          </w:tcPr>
          <w:p w:rsidR="0051218E" w:rsidRPr="0084377F" w:rsidRDefault="0051218E" w:rsidP="00F902BD">
            <w:pPr>
              <w:rPr>
                <w:rFonts w:ascii="Arial Narrow" w:hAnsi="Arial Narrow" w:cs="Arial"/>
                <w:sz w:val="16"/>
                <w:szCs w:val="16"/>
              </w:rPr>
            </w:pPr>
          </w:p>
        </w:tc>
        <w:tc>
          <w:tcPr>
            <w:tcW w:w="2701" w:type="dxa"/>
            <w:tcBorders>
              <w:top w:val="single" w:sz="4" w:space="0" w:color="auto"/>
            </w:tcBorders>
          </w:tcPr>
          <w:p w:rsidR="0051218E" w:rsidRPr="0084377F" w:rsidRDefault="0051218E" w:rsidP="00F902BD">
            <w:pPr>
              <w:jc w:val="center"/>
              <w:rPr>
                <w:rFonts w:ascii="Arial Narrow" w:hAnsi="Arial Narrow" w:cs="Arial"/>
                <w:sz w:val="16"/>
                <w:szCs w:val="16"/>
              </w:rPr>
            </w:pPr>
          </w:p>
        </w:tc>
        <w:tc>
          <w:tcPr>
            <w:tcW w:w="1414" w:type="dxa"/>
          </w:tcPr>
          <w:p w:rsidR="0051218E" w:rsidRPr="0084377F" w:rsidRDefault="0051218E" w:rsidP="00F902BD">
            <w:pPr>
              <w:rPr>
                <w:rFonts w:ascii="Arial Narrow" w:hAnsi="Arial Narrow" w:cs="Arial"/>
                <w:sz w:val="16"/>
                <w:szCs w:val="16"/>
              </w:rPr>
            </w:pPr>
          </w:p>
        </w:tc>
        <w:tc>
          <w:tcPr>
            <w:tcW w:w="3765" w:type="dxa"/>
            <w:tcBorders>
              <w:top w:val="single" w:sz="4" w:space="0" w:color="auto"/>
            </w:tcBorders>
          </w:tcPr>
          <w:p w:rsidR="0051218E" w:rsidRPr="0084377F" w:rsidRDefault="0051218E" w:rsidP="00F902BD">
            <w:pPr>
              <w:jc w:val="center"/>
              <w:rPr>
                <w:rFonts w:ascii="Arial Narrow" w:hAnsi="Arial Narrow" w:cs="Arial"/>
                <w:sz w:val="16"/>
                <w:szCs w:val="16"/>
              </w:rPr>
            </w:pPr>
          </w:p>
        </w:tc>
        <w:tc>
          <w:tcPr>
            <w:tcW w:w="1314" w:type="dxa"/>
          </w:tcPr>
          <w:p w:rsidR="0051218E" w:rsidRPr="0084377F" w:rsidRDefault="0051218E" w:rsidP="00F902BD">
            <w:pPr>
              <w:rPr>
                <w:rFonts w:ascii="Arial Narrow" w:hAnsi="Arial Narrow" w:cs="Arial"/>
                <w:sz w:val="16"/>
                <w:szCs w:val="16"/>
              </w:rPr>
            </w:pPr>
          </w:p>
        </w:tc>
        <w:tc>
          <w:tcPr>
            <w:tcW w:w="425" w:type="dxa"/>
          </w:tcPr>
          <w:p w:rsidR="0051218E" w:rsidRPr="0084377F" w:rsidRDefault="0051218E" w:rsidP="00F902BD">
            <w:pPr>
              <w:rPr>
                <w:rFonts w:ascii="Arial Narrow" w:hAnsi="Arial Narrow" w:cs="Arial"/>
                <w:sz w:val="16"/>
                <w:szCs w:val="16"/>
              </w:rPr>
            </w:pPr>
          </w:p>
        </w:tc>
      </w:tr>
    </w:tbl>
    <w:p w:rsidR="0051218E" w:rsidRPr="0084377F" w:rsidRDefault="0051218E" w:rsidP="00CD6F07">
      <w:pPr>
        <w:spacing w:before="60" w:after="60"/>
        <w:jc w:val="both"/>
        <w:rPr>
          <w:rFonts w:ascii="Arial Narrow" w:hAnsi="Arial Narrow" w:cs="Arial"/>
          <w:b/>
          <w:sz w:val="16"/>
          <w:szCs w:val="16"/>
        </w:rPr>
      </w:pPr>
    </w:p>
    <w:p w:rsidR="0051218E" w:rsidRPr="0084377F" w:rsidRDefault="0051218E" w:rsidP="000A5351">
      <w:pPr>
        <w:jc w:val="right"/>
        <w:rPr>
          <w:rFonts w:ascii="Arial Narrow" w:hAnsi="Arial Narrow" w:cs="Arial"/>
          <w:b/>
          <w:sz w:val="16"/>
          <w:szCs w:val="16"/>
        </w:rPr>
      </w:pPr>
    </w:p>
    <w:p w:rsidR="0051218E" w:rsidRPr="0084377F" w:rsidRDefault="0051218E" w:rsidP="000A5351">
      <w:pPr>
        <w:jc w:val="right"/>
        <w:rPr>
          <w:rFonts w:ascii="Arial Narrow" w:hAnsi="Arial Narrow" w:cs="Arial"/>
          <w:b/>
          <w:sz w:val="16"/>
          <w:szCs w:val="16"/>
        </w:rPr>
      </w:pPr>
    </w:p>
    <w:p w:rsidR="000E15FA" w:rsidRDefault="008E6D6A" w:rsidP="000A5351">
      <w:pPr>
        <w:jc w:val="right"/>
        <w:rPr>
          <w:rFonts w:ascii="Arial Narrow" w:hAnsi="Arial Narrow" w:cs="Arial"/>
          <w:b/>
          <w:sz w:val="16"/>
          <w:szCs w:val="16"/>
        </w:rPr>
      </w:pPr>
      <w:r w:rsidRPr="0084377F">
        <w:rPr>
          <w:rFonts w:ascii="Arial Narrow" w:hAnsi="Arial Narrow"/>
          <w:b/>
          <w:sz w:val="16"/>
          <w:szCs w:val="20"/>
        </w:rPr>
        <w:t>Nota:</w:t>
      </w:r>
      <w:r w:rsidRPr="0084377F">
        <w:rPr>
          <w:rFonts w:ascii="Arial Narrow" w:hAnsi="Arial Narrow"/>
          <w:sz w:val="16"/>
          <w:szCs w:val="20"/>
        </w:rPr>
        <w:t xml:space="preserve"> Este formato estará disponible en la liga http://www.auditoriapuebla.gob.mx/formatos-lineamientos-201</w:t>
      </w:r>
      <w:r w:rsidR="004B37CC">
        <w:rPr>
          <w:rFonts w:ascii="Arial Narrow" w:hAnsi="Arial Narrow"/>
          <w:sz w:val="16"/>
          <w:szCs w:val="20"/>
        </w:rPr>
        <w:t>9</w:t>
      </w:r>
    </w:p>
    <w:sectPr w:rsidR="000E15FA" w:rsidSect="00CC1483">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C16" w:rsidRDefault="00B16C16">
      <w:r>
        <w:separator/>
      </w:r>
    </w:p>
  </w:endnote>
  <w:endnote w:type="continuationSeparator" w:id="0">
    <w:p w:rsidR="00B16C16" w:rsidRDefault="00B1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596C59">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596C59">
      <w:rPr>
        <w:rStyle w:val="Nmerodepgina"/>
        <w:rFonts w:ascii="Arial" w:hAnsi="Arial" w:cs="Arial"/>
        <w:noProof/>
        <w:sz w:val="16"/>
      </w:rPr>
      <w:t>3</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C16" w:rsidRDefault="00B16C16">
      <w:r>
        <w:separator/>
      </w:r>
    </w:p>
  </w:footnote>
  <w:footnote w:type="continuationSeparator" w:id="0">
    <w:p w:rsidR="00B16C16" w:rsidRDefault="00B16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47253E">
            <w:rPr>
              <w:rFonts w:ascii="Arial Narrow" w:hAnsi="Arial Narrow"/>
              <w:b/>
              <w:bCs/>
              <w:sz w:val="20"/>
              <w:szCs w:val="20"/>
            </w:rPr>
            <w:t>2019</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7B7678"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7B7678" w:rsidRDefault="004A43DC" w:rsidP="00501B79">
          <w:pPr>
            <w:spacing w:before="40" w:after="20"/>
            <w:ind w:left="105"/>
            <w:jc w:val="right"/>
            <w:rPr>
              <w:rFonts w:ascii="Arial Narrow" w:hAnsi="Arial Narrow"/>
              <w:b/>
              <w:sz w:val="16"/>
              <w:szCs w:val="16"/>
            </w:rPr>
          </w:pPr>
          <w:r w:rsidRPr="007B7678">
            <w:rPr>
              <w:rFonts w:ascii="Arial Narrow" w:hAnsi="Arial Narrow"/>
              <w:b/>
              <w:sz w:val="16"/>
              <w:szCs w:val="16"/>
            </w:rPr>
            <w:t xml:space="preserve">Procedimiento: </w:t>
          </w:r>
          <w:r w:rsidR="00501B79" w:rsidRPr="00501B79">
            <w:rPr>
              <w:rFonts w:ascii="Arial Narrow" w:hAnsi="Arial Narrow"/>
              <w:b/>
              <w:sz w:val="16"/>
              <w:szCs w:val="16"/>
            </w:rPr>
            <w:t xml:space="preserve">Título Quinto de la Ley General de Contabilidad </w:t>
          </w:r>
          <w:r w:rsidR="00501B79">
            <w:rPr>
              <w:rFonts w:ascii="Arial Narrow" w:hAnsi="Arial Narrow"/>
              <w:b/>
              <w:sz w:val="16"/>
              <w:szCs w:val="16"/>
            </w:rPr>
            <w:t>General</w:t>
          </w:r>
          <w:r w:rsidRPr="007B7678">
            <w:rPr>
              <w:rFonts w:ascii="Arial Narrow" w:hAnsi="Arial Narrow"/>
              <w:b/>
              <w:sz w:val="16"/>
              <w:szCs w:val="16"/>
            </w:rPr>
            <w:t xml:space="preserve"> </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7B7678" w:rsidP="000A5351">
          <w:pPr>
            <w:jc w:val="center"/>
            <w:rPr>
              <w:rFonts w:ascii="Arial Narrow" w:hAnsi="Arial Narrow"/>
              <w:b/>
              <w:sz w:val="16"/>
              <w:szCs w:val="16"/>
            </w:rPr>
          </w:pPr>
          <w:r>
            <w:rPr>
              <w:rFonts w:ascii="Arial Narrow" w:hAnsi="Arial Narrow"/>
              <w:b/>
              <w:sz w:val="16"/>
              <w:szCs w:val="16"/>
            </w:rPr>
            <w:t xml:space="preserve">Documentación </w:t>
          </w:r>
          <w:r w:rsidR="0003506B">
            <w:rPr>
              <w:rFonts w:ascii="Arial Narrow" w:hAnsi="Arial Narrow"/>
              <w:b/>
              <w:sz w:val="16"/>
              <w:szCs w:val="16"/>
            </w:rPr>
            <w:t>r</w:t>
          </w:r>
          <w:r>
            <w:rPr>
              <w:rFonts w:ascii="Arial Narrow" w:hAnsi="Arial Narrow"/>
              <w:b/>
              <w:sz w:val="16"/>
              <w:szCs w:val="16"/>
            </w:rPr>
            <w:t>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3A4AF2" w:rsidP="000A5351">
          <w:pPr>
            <w:jc w:val="center"/>
            <w:rPr>
              <w:rFonts w:ascii="Arial Narrow" w:hAnsi="Arial Narrow"/>
              <w:b/>
              <w:sz w:val="16"/>
              <w:szCs w:val="16"/>
            </w:rPr>
          </w:pPr>
          <w:r>
            <w:rPr>
              <w:rFonts w:ascii="Arial Narrow" w:hAnsi="Arial Narrow"/>
              <w:b/>
              <w:sz w:val="16"/>
              <w:szCs w:val="16"/>
            </w:rPr>
            <w:t>Acciones a realizar por parte de la Entidad Fiscalizada</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EC0171"/>
    <w:multiLevelType w:val="hybridMultilevel"/>
    <w:tmpl w:val="E8C6AC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5103DDE"/>
    <w:multiLevelType w:val="hybridMultilevel"/>
    <w:tmpl w:val="7278D6A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15:restartNumberingAfterBreak="0">
    <w:nsid w:val="21F749D7"/>
    <w:multiLevelType w:val="hybridMultilevel"/>
    <w:tmpl w:val="A5AE97C8"/>
    <w:lvl w:ilvl="0" w:tplc="6CE06E44">
      <w:start w:val="1"/>
      <w:numFmt w:val="decimal"/>
      <w:lvlText w:val="%1."/>
      <w:lvlJc w:val="left"/>
      <w:pPr>
        <w:ind w:left="437" w:hanging="360"/>
      </w:pPr>
      <w:rPr>
        <w:rFonts w:hint="default"/>
        <w:color w:val="000000"/>
      </w:rPr>
    </w:lvl>
    <w:lvl w:ilvl="1" w:tplc="080A0019" w:tentative="1">
      <w:start w:val="1"/>
      <w:numFmt w:val="lowerLetter"/>
      <w:lvlText w:val="%2."/>
      <w:lvlJc w:val="left"/>
      <w:pPr>
        <w:ind w:left="1157" w:hanging="360"/>
      </w:pPr>
    </w:lvl>
    <w:lvl w:ilvl="2" w:tplc="080A001B" w:tentative="1">
      <w:start w:val="1"/>
      <w:numFmt w:val="lowerRoman"/>
      <w:lvlText w:val="%3."/>
      <w:lvlJc w:val="right"/>
      <w:pPr>
        <w:ind w:left="1877" w:hanging="180"/>
      </w:pPr>
    </w:lvl>
    <w:lvl w:ilvl="3" w:tplc="080A000F" w:tentative="1">
      <w:start w:val="1"/>
      <w:numFmt w:val="decimal"/>
      <w:lvlText w:val="%4."/>
      <w:lvlJc w:val="left"/>
      <w:pPr>
        <w:ind w:left="2597" w:hanging="360"/>
      </w:pPr>
    </w:lvl>
    <w:lvl w:ilvl="4" w:tplc="080A0019" w:tentative="1">
      <w:start w:val="1"/>
      <w:numFmt w:val="lowerLetter"/>
      <w:lvlText w:val="%5."/>
      <w:lvlJc w:val="left"/>
      <w:pPr>
        <w:ind w:left="3317" w:hanging="360"/>
      </w:pPr>
    </w:lvl>
    <w:lvl w:ilvl="5" w:tplc="080A001B" w:tentative="1">
      <w:start w:val="1"/>
      <w:numFmt w:val="lowerRoman"/>
      <w:lvlText w:val="%6."/>
      <w:lvlJc w:val="right"/>
      <w:pPr>
        <w:ind w:left="4037" w:hanging="180"/>
      </w:pPr>
    </w:lvl>
    <w:lvl w:ilvl="6" w:tplc="080A000F" w:tentative="1">
      <w:start w:val="1"/>
      <w:numFmt w:val="decimal"/>
      <w:lvlText w:val="%7."/>
      <w:lvlJc w:val="left"/>
      <w:pPr>
        <w:ind w:left="4757" w:hanging="360"/>
      </w:pPr>
    </w:lvl>
    <w:lvl w:ilvl="7" w:tplc="080A0019" w:tentative="1">
      <w:start w:val="1"/>
      <w:numFmt w:val="lowerLetter"/>
      <w:lvlText w:val="%8."/>
      <w:lvlJc w:val="left"/>
      <w:pPr>
        <w:ind w:left="5477" w:hanging="360"/>
      </w:pPr>
    </w:lvl>
    <w:lvl w:ilvl="8" w:tplc="080A001B" w:tentative="1">
      <w:start w:val="1"/>
      <w:numFmt w:val="lowerRoman"/>
      <w:lvlText w:val="%9."/>
      <w:lvlJc w:val="right"/>
      <w:pPr>
        <w:ind w:left="6197" w:hanging="180"/>
      </w:pPr>
    </w:lvl>
  </w:abstractNum>
  <w:abstractNum w:abstractNumId="7" w15:restartNumberingAfterBreak="0">
    <w:nsid w:val="27577617"/>
    <w:multiLevelType w:val="hybridMultilevel"/>
    <w:tmpl w:val="53EA904A"/>
    <w:lvl w:ilvl="0" w:tplc="080A0017">
      <w:start w:val="1"/>
      <w:numFmt w:val="lowerLetter"/>
      <w:lvlText w:val="%1)"/>
      <w:lvlJc w:val="left"/>
      <w:pPr>
        <w:ind w:left="728" w:hanging="360"/>
      </w:pPr>
    </w:lvl>
    <w:lvl w:ilvl="1" w:tplc="080A0019" w:tentative="1">
      <w:start w:val="1"/>
      <w:numFmt w:val="lowerLetter"/>
      <w:lvlText w:val="%2."/>
      <w:lvlJc w:val="left"/>
      <w:pPr>
        <w:ind w:left="1448" w:hanging="360"/>
      </w:pPr>
    </w:lvl>
    <w:lvl w:ilvl="2" w:tplc="080A001B" w:tentative="1">
      <w:start w:val="1"/>
      <w:numFmt w:val="lowerRoman"/>
      <w:lvlText w:val="%3."/>
      <w:lvlJc w:val="right"/>
      <w:pPr>
        <w:ind w:left="2168" w:hanging="180"/>
      </w:pPr>
    </w:lvl>
    <w:lvl w:ilvl="3" w:tplc="080A000F" w:tentative="1">
      <w:start w:val="1"/>
      <w:numFmt w:val="decimal"/>
      <w:lvlText w:val="%4."/>
      <w:lvlJc w:val="left"/>
      <w:pPr>
        <w:ind w:left="2888" w:hanging="360"/>
      </w:pPr>
    </w:lvl>
    <w:lvl w:ilvl="4" w:tplc="080A0019" w:tentative="1">
      <w:start w:val="1"/>
      <w:numFmt w:val="lowerLetter"/>
      <w:lvlText w:val="%5."/>
      <w:lvlJc w:val="left"/>
      <w:pPr>
        <w:ind w:left="3608" w:hanging="360"/>
      </w:pPr>
    </w:lvl>
    <w:lvl w:ilvl="5" w:tplc="080A001B" w:tentative="1">
      <w:start w:val="1"/>
      <w:numFmt w:val="lowerRoman"/>
      <w:lvlText w:val="%6."/>
      <w:lvlJc w:val="right"/>
      <w:pPr>
        <w:ind w:left="4328" w:hanging="180"/>
      </w:pPr>
    </w:lvl>
    <w:lvl w:ilvl="6" w:tplc="080A000F" w:tentative="1">
      <w:start w:val="1"/>
      <w:numFmt w:val="decimal"/>
      <w:lvlText w:val="%7."/>
      <w:lvlJc w:val="left"/>
      <w:pPr>
        <w:ind w:left="5048" w:hanging="360"/>
      </w:pPr>
    </w:lvl>
    <w:lvl w:ilvl="7" w:tplc="080A0019" w:tentative="1">
      <w:start w:val="1"/>
      <w:numFmt w:val="lowerLetter"/>
      <w:lvlText w:val="%8."/>
      <w:lvlJc w:val="left"/>
      <w:pPr>
        <w:ind w:left="5768" w:hanging="360"/>
      </w:pPr>
    </w:lvl>
    <w:lvl w:ilvl="8" w:tplc="080A001B" w:tentative="1">
      <w:start w:val="1"/>
      <w:numFmt w:val="lowerRoman"/>
      <w:lvlText w:val="%9."/>
      <w:lvlJc w:val="right"/>
      <w:pPr>
        <w:ind w:left="6488" w:hanging="180"/>
      </w:pPr>
    </w:lvl>
  </w:abstractNum>
  <w:abstractNum w:abstractNumId="8" w15:restartNumberingAfterBreak="0">
    <w:nsid w:val="2B6E5C09"/>
    <w:multiLevelType w:val="hybridMultilevel"/>
    <w:tmpl w:val="01CE93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2CAE3E47"/>
    <w:multiLevelType w:val="hybridMultilevel"/>
    <w:tmpl w:val="78AAA94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6060C20"/>
    <w:multiLevelType w:val="hybridMultilevel"/>
    <w:tmpl w:val="8D28A6B4"/>
    <w:lvl w:ilvl="0" w:tplc="DC065476">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72528EB"/>
    <w:multiLevelType w:val="hybridMultilevel"/>
    <w:tmpl w:val="9C24AAE6"/>
    <w:lvl w:ilvl="0" w:tplc="535EB9CE">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3BB6466"/>
    <w:multiLevelType w:val="hybridMultilevel"/>
    <w:tmpl w:val="C7C8C330"/>
    <w:lvl w:ilvl="0" w:tplc="9F669C82">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69C594B"/>
    <w:multiLevelType w:val="hybridMultilevel"/>
    <w:tmpl w:val="053E5FA6"/>
    <w:lvl w:ilvl="0" w:tplc="5F78D7BC">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7"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num w:numId="1">
    <w:abstractNumId w:val="5"/>
  </w:num>
  <w:num w:numId="2">
    <w:abstractNumId w:val="4"/>
  </w:num>
  <w:num w:numId="3">
    <w:abstractNumId w:val="11"/>
  </w:num>
  <w:num w:numId="4">
    <w:abstractNumId w:val="0"/>
  </w:num>
  <w:num w:numId="5">
    <w:abstractNumId w:val="10"/>
  </w:num>
  <w:num w:numId="6">
    <w:abstractNumId w:val="3"/>
  </w:num>
  <w:num w:numId="7">
    <w:abstractNumId w:val="16"/>
  </w:num>
  <w:num w:numId="8">
    <w:abstractNumId w:val="17"/>
  </w:num>
  <w:num w:numId="9">
    <w:abstractNumId w:val="8"/>
  </w:num>
  <w:num w:numId="10">
    <w:abstractNumId w:val="2"/>
  </w:num>
  <w:num w:numId="11">
    <w:abstractNumId w:val="7"/>
  </w:num>
  <w:num w:numId="12">
    <w:abstractNumId w:val="9"/>
  </w:num>
  <w:num w:numId="13">
    <w:abstractNumId w:val="14"/>
  </w:num>
  <w:num w:numId="14">
    <w:abstractNumId w:val="15"/>
  </w:num>
  <w:num w:numId="15">
    <w:abstractNumId w:val="13"/>
  </w:num>
  <w:num w:numId="16">
    <w:abstractNumId w:val="12"/>
  </w:num>
  <w:num w:numId="17">
    <w:abstractNumId w:val="6"/>
  </w:num>
  <w:num w:numId="1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3506B"/>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4674"/>
    <w:rsid w:val="000C5325"/>
    <w:rsid w:val="000C599A"/>
    <w:rsid w:val="000C65E0"/>
    <w:rsid w:val="000D04CB"/>
    <w:rsid w:val="000D0CAA"/>
    <w:rsid w:val="000D1320"/>
    <w:rsid w:val="000D394E"/>
    <w:rsid w:val="000D488F"/>
    <w:rsid w:val="000D5677"/>
    <w:rsid w:val="000D5E73"/>
    <w:rsid w:val="000D6AC3"/>
    <w:rsid w:val="000E15FA"/>
    <w:rsid w:val="000E2556"/>
    <w:rsid w:val="000E50D4"/>
    <w:rsid w:val="000E5151"/>
    <w:rsid w:val="000E5AD6"/>
    <w:rsid w:val="000E6716"/>
    <w:rsid w:val="000E7DDC"/>
    <w:rsid w:val="000F00F3"/>
    <w:rsid w:val="000F463B"/>
    <w:rsid w:val="000F4CF1"/>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228"/>
    <w:rsid w:val="001C0439"/>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518C"/>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3DDE"/>
    <w:rsid w:val="002645B9"/>
    <w:rsid w:val="00265298"/>
    <w:rsid w:val="00266349"/>
    <w:rsid w:val="002716D2"/>
    <w:rsid w:val="002723DF"/>
    <w:rsid w:val="00273619"/>
    <w:rsid w:val="00277454"/>
    <w:rsid w:val="002801E5"/>
    <w:rsid w:val="00281026"/>
    <w:rsid w:val="002811AF"/>
    <w:rsid w:val="00283A10"/>
    <w:rsid w:val="00286248"/>
    <w:rsid w:val="002907E3"/>
    <w:rsid w:val="00291F8F"/>
    <w:rsid w:val="00294027"/>
    <w:rsid w:val="00295407"/>
    <w:rsid w:val="0029605B"/>
    <w:rsid w:val="002963D0"/>
    <w:rsid w:val="002A0EEF"/>
    <w:rsid w:val="002A1804"/>
    <w:rsid w:val="002A20D0"/>
    <w:rsid w:val="002A4273"/>
    <w:rsid w:val="002A79D0"/>
    <w:rsid w:val="002A7C15"/>
    <w:rsid w:val="002B0AC4"/>
    <w:rsid w:val="002B15B6"/>
    <w:rsid w:val="002B1627"/>
    <w:rsid w:val="002B1800"/>
    <w:rsid w:val="002B188F"/>
    <w:rsid w:val="002B18C3"/>
    <w:rsid w:val="002B26C1"/>
    <w:rsid w:val="002B5974"/>
    <w:rsid w:val="002B5B60"/>
    <w:rsid w:val="002B6497"/>
    <w:rsid w:val="002B6A63"/>
    <w:rsid w:val="002B6BC6"/>
    <w:rsid w:val="002B7491"/>
    <w:rsid w:val="002B7B48"/>
    <w:rsid w:val="002B7C57"/>
    <w:rsid w:val="002C0FD9"/>
    <w:rsid w:val="002C3DF1"/>
    <w:rsid w:val="002C4F1D"/>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54"/>
    <w:rsid w:val="002E696F"/>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4AF2"/>
    <w:rsid w:val="003A5A08"/>
    <w:rsid w:val="003A5E98"/>
    <w:rsid w:val="003A6625"/>
    <w:rsid w:val="003A6CFE"/>
    <w:rsid w:val="003A6EA6"/>
    <w:rsid w:val="003A7948"/>
    <w:rsid w:val="003A7DEF"/>
    <w:rsid w:val="003B1600"/>
    <w:rsid w:val="003B27F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6D5"/>
    <w:rsid w:val="003E7AD7"/>
    <w:rsid w:val="003F1A00"/>
    <w:rsid w:val="003F2DCA"/>
    <w:rsid w:val="003F2E69"/>
    <w:rsid w:val="003F448B"/>
    <w:rsid w:val="003F47EA"/>
    <w:rsid w:val="003F6155"/>
    <w:rsid w:val="00401FB1"/>
    <w:rsid w:val="00402396"/>
    <w:rsid w:val="0040291B"/>
    <w:rsid w:val="004039E8"/>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53E"/>
    <w:rsid w:val="004728DE"/>
    <w:rsid w:val="00473261"/>
    <w:rsid w:val="00474242"/>
    <w:rsid w:val="00475A7F"/>
    <w:rsid w:val="00475DB9"/>
    <w:rsid w:val="00476E17"/>
    <w:rsid w:val="004803BB"/>
    <w:rsid w:val="00480783"/>
    <w:rsid w:val="0048242B"/>
    <w:rsid w:val="00482B14"/>
    <w:rsid w:val="00482E70"/>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A43"/>
    <w:rsid w:val="004B0C02"/>
    <w:rsid w:val="004B0D5B"/>
    <w:rsid w:val="004B34F1"/>
    <w:rsid w:val="004B37CC"/>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C7EDE"/>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1B79"/>
    <w:rsid w:val="005021FE"/>
    <w:rsid w:val="00502E87"/>
    <w:rsid w:val="00503A56"/>
    <w:rsid w:val="00504EF4"/>
    <w:rsid w:val="0050598F"/>
    <w:rsid w:val="005113E3"/>
    <w:rsid w:val="00511B97"/>
    <w:rsid w:val="0051218E"/>
    <w:rsid w:val="00512DE2"/>
    <w:rsid w:val="00515C08"/>
    <w:rsid w:val="005166D7"/>
    <w:rsid w:val="00517B09"/>
    <w:rsid w:val="00520513"/>
    <w:rsid w:val="00521FA4"/>
    <w:rsid w:val="005226EF"/>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5B27"/>
    <w:rsid w:val="00557EB7"/>
    <w:rsid w:val="005609AC"/>
    <w:rsid w:val="00561C8D"/>
    <w:rsid w:val="0057065D"/>
    <w:rsid w:val="005706CB"/>
    <w:rsid w:val="00570BD1"/>
    <w:rsid w:val="00570D4A"/>
    <w:rsid w:val="005726A8"/>
    <w:rsid w:val="0057394E"/>
    <w:rsid w:val="00573EFA"/>
    <w:rsid w:val="00574009"/>
    <w:rsid w:val="00576DD0"/>
    <w:rsid w:val="005779F7"/>
    <w:rsid w:val="0058053E"/>
    <w:rsid w:val="00580B2C"/>
    <w:rsid w:val="005812D8"/>
    <w:rsid w:val="005819FE"/>
    <w:rsid w:val="00582CDA"/>
    <w:rsid w:val="005832A2"/>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BE1"/>
    <w:rsid w:val="00595C86"/>
    <w:rsid w:val="00595F3D"/>
    <w:rsid w:val="005967D8"/>
    <w:rsid w:val="00596C59"/>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A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2377"/>
    <w:rsid w:val="005D3F23"/>
    <w:rsid w:val="005D57E9"/>
    <w:rsid w:val="005D7CE5"/>
    <w:rsid w:val="005E0126"/>
    <w:rsid w:val="005E10F4"/>
    <w:rsid w:val="005E12EE"/>
    <w:rsid w:val="005E1869"/>
    <w:rsid w:val="005E253B"/>
    <w:rsid w:val="005E3AE8"/>
    <w:rsid w:val="005E4EB5"/>
    <w:rsid w:val="005E788A"/>
    <w:rsid w:val="005E79F1"/>
    <w:rsid w:val="005F14E2"/>
    <w:rsid w:val="005F224C"/>
    <w:rsid w:val="005F538C"/>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EC"/>
    <w:rsid w:val="00631410"/>
    <w:rsid w:val="00632002"/>
    <w:rsid w:val="00633126"/>
    <w:rsid w:val="00633A15"/>
    <w:rsid w:val="00636854"/>
    <w:rsid w:val="0063745F"/>
    <w:rsid w:val="006379B2"/>
    <w:rsid w:val="00640821"/>
    <w:rsid w:val="00642471"/>
    <w:rsid w:val="0064276B"/>
    <w:rsid w:val="00642B87"/>
    <w:rsid w:val="00645EDB"/>
    <w:rsid w:val="006463EC"/>
    <w:rsid w:val="00647156"/>
    <w:rsid w:val="0065037A"/>
    <w:rsid w:val="006512F6"/>
    <w:rsid w:val="006515F1"/>
    <w:rsid w:val="00654639"/>
    <w:rsid w:val="00655BB1"/>
    <w:rsid w:val="006656D9"/>
    <w:rsid w:val="00667BDD"/>
    <w:rsid w:val="00670469"/>
    <w:rsid w:val="0067120B"/>
    <w:rsid w:val="006720B2"/>
    <w:rsid w:val="00672167"/>
    <w:rsid w:val="00677857"/>
    <w:rsid w:val="00681B13"/>
    <w:rsid w:val="0068457B"/>
    <w:rsid w:val="00685572"/>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1501"/>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49F4"/>
    <w:rsid w:val="006D50A5"/>
    <w:rsid w:val="006D5304"/>
    <w:rsid w:val="006D5AC2"/>
    <w:rsid w:val="006D5E35"/>
    <w:rsid w:val="006D6110"/>
    <w:rsid w:val="006D6F11"/>
    <w:rsid w:val="006E41EE"/>
    <w:rsid w:val="006E53C0"/>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0CC6"/>
    <w:rsid w:val="00761B1C"/>
    <w:rsid w:val="00762209"/>
    <w:rsid w:val="00764602"/>
    <w:rsid w:val="0076502A"/>
    <w:rsid w:val="00765DCE"/>
    <w:rsid w:val="00767396"/>
    <w:rsid w:val="007678D6"/>
    <w:rsid w:val="00770A50"/>
    <w:rsid w:val="007714A0"/>
    <w:rsid w:val="007748CF"/>
    <w:rsid w:val="00775AF3"/>
    <w:rsid w:val="00775C8A"/>
    <w:rsid w:val="007778FF"/>
    <w:rsid w:val="007800AE"/>
    <w:rsid w:val="007826AA"/>
    <w:rsid w:val="007830E6"/>
    <w:rsid w:val="007835C7"/>
    <w:rsid w:val="007858E9"/>
    <w:rsid w:val="00787E07"/>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B7678"/>
    <w:rsid w:val="007C2CD3"/>
    <w:rsid w:val="007C46F5"/>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09CC"/>
    <w:rsid w:val="008312D8"/>
    <w:rsid w:val="008328B8"/>
    <w:rsid w:val="00832CBA"/>
    <w:rsid w:val="008330F4"/>
    <w:rsid w:val="008332A3"/>
    <w:rsid w:val="0083387B"/>
    <w:rsid w:val="00834D56"/>
    <w:rsid w:val="00835CE4"/>
    <w:rsid w:val="00836149"/>
    <w:rsid w:val="008417DC"/>
    <w:rsid w:val="00843320"/>
    <w:rsid w:val="00843530"/>
    <w:rsid w:val="0084377F"/>
    <w:rsid w:val="00843797"/>
    <w:rsid w:val="00843AC4"/>
    <w:rsid w:val="00846F9E"/>
    <w:rsid w:val="008472ED"/>
    <w:rsid w:val="00851718"/>
    <w:rsid w:val="0085455B"/>
    <w:rsid w:val="008551A8"/>
    <w:rsid w:val="0085618F"/>
    <w:rsid w:val="00856ABE"/>
    <w:rsid w:val="00857F79"/>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91F77"/>
    <w:rsid w:val="00892B90"/>
    <w:rsid w:val="00894B53"/>
    <w:rsid w:val="00894B6F"/>
    <w:rsid w:val="00895152"/>
    <w:rsid w:val="008A1D2C"/>
    <w:rsid w:val="008A34A3"/>
    <w:rsid w:val="008A35B5"/>
    <w:rsid w:val="008A40A1"/>
    <w:rsid w:val="008A4CB7"/>
    <w:rsid w:val="008B024C"/>
    <w:rsid w:val="008B0875"/>
    <w:rsid w:val="008B175B"/>
    <w:rsid w:val="008B17DA"/>
    <w:rsid w:val="008B2074"/>
    <w:rsid w:val="008B489F"/>
    <w:rsid w:val="008B6162"/>
    <w:rsid w:val="008B73B4"/>
    <w:rsid w:val="008B77A5"/>
    <w:rsid w:val="008C019A"/>
    <w:rsid w:val="008C02AF"/>
    <w:rsid w:val="008C3DAB"/>
    <w:rsid w:val="008C3F7A"/>
    <w:rsid w:val="008C6B3C"/>
    <w:rsid w:val="008C6E58"/>
    <w:rsid w:val="008C70F0"/>
    <w:rsid w:val="008C7799"/>
    <w:rsid w:val="008D007A"/>
    <w:rsid w:val="008D04D0"/>
    <w:rsid w:val="008D21B3"/>
    <w:rsid w:val="008D2AB7"/>
    <w:rsid w:val="008D7E79"/>
    <w:rsid w:val="008E111B"/>
    <w:rsid w:val="008E3700"/>
    <w:rsid w:val="008E45FB"/>
    <w:rsid w:val="008E4B1C"/>
    <w:rsid w:val="008E5E04"/>
    <w:rsid w:val="008E64E4"/>
    <w:rsid w:val="008E6D6A"/>
    <w:rsid w:val="008F3A47"/>
    <w:rsid w:val="008F5DAE"/>
    <w:rsid w:val="008F61CF"/>
    <w:rsid w:val="00901E76"/>
    <w:rsid w:val="00902AE2"/>
    <w:rsid w:val="00906D80"/>
    <w:rsid w:val="0091057B"/>
    <w:rsid w:val="00912E32"/>
    <w:rsid w:val="00913388"/>
    <w:rsid w:val="00913467"/>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E59"/>
    <w:rsid w:val="00946C8E"/>
    <w:rsid w:val="009476C4"/>
    <w:rsid w:val="00947FCA"/>
    <w:rsid w:val="00952148"/>
    <w:rsid w:val="00955708"/>
    <w:rsid w:val="00956026"/>
    <w:rsid w:val="00956594"/>
    <w:rsid w:val="00956797"/>
    <w:rsid w:val="0096010E"/>
    <w:rsid w:val="00960D32"/>
    <w:rsid w:val="00962440"/>
    <w:rsid w:val="0096298E"/>
    <w:rsid w:val="00963ACC"/>
    <w:rsid w:val="0096476E"/>
    <w:rsid w:val="00965719"/>
    <w:rsid w:val="009732CF"/>
    <w:rsid w:val="00973CF4"/>
    <w:rsid w:val="00976451"/>
    <w:rsid w:val="009766A2"/>
    <w:rsid w:val="00977A7E"/>
    <w:rsid w:val="0098075E"/>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44CA"/>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8CA"/>
    <w:rsid w:val="00A82E80"/>
    <w:rsid w:val="00A83616"/>
    <w:rsid w:val="00A85BA6"/>
    <w:rsid w:val="00A90253"/>
    <w:rsid w:val="00A90E5D"/>
    <w:rsid w:val="00A91763"/>
    <w:rsid w:val="00A93E3C"/>
    <w:rsid w:val="00A95026"/>
    <w:rsid w:val="00A977CF"/>
    <w:rsid w:val="00AA0EB8"/>
    <w:rsid w:val="00AA225D"/>
    <w:rsid w:val="00AA2F33"/>
    <w:rsid w:val="00AA4862"/>
    <w:rsid w:val="00AA6EF6"/>
    <w:rsid w:val="00AA72AE"/>
    <w:rsid w:val="00AB0CEB"/>
    <w:rsid w:val="00AB14C7"/>
    <w:rsid w:val="00AB2963"/>
    <w:rsid w:val="00AB390A"/>
    <w:rsid w:val="00AB58A0"/>
    <w:rsid w:val="00AB63A8"/>
    <w:rsid w:val="00AB7F98"/>
    <w:rsid w:val="00AC09F7"/>
    <w:rsid w:val="00AC100F"/>
    <w:rsid w:val="00AC1FC0"/>
    <w:rsid w:val="00AC276B"/>
    <w:rsid w:val="00AC3E35"/>
    <w:rsid w:val="00AC40B8"/>
    <w:rsid w:val="00AC50F6"/>
    <w:rsid w:val="00AC59DF"/>
    <w:rsid w:val="00AD1033"/>
    <w:rsid w:val="00AD2360"/>
    <w:rsid w:val="00AD3B8B"/>
    <w:rsid w:val="00AD40E1"/>
    <w:rsid w:val="00AD6FB3"/>
    <w:rsid w:val="00AD7B43"/>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EFE"/>
    <w:rsid w:val="00B1025F"/>
    <w:rsid w:val="00B1094C"/>
    <w:rsid w:val="00B115CE"/>
    <w:rsid w:val="00B116F2"/>
    <w:rsid w:val="00B12D0E"/>
    <w:rsid w:val="00B130E3"/>
    <w:rsid w:val="00B13F68"/>
    <w:rsid w:val="00B151CE"/>
    <w:rsid w:val="00B16B9B"/>
    <w:rsid w:val="00B16C16"/>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2784"/>
    <w:rsid w:val="00B94882"/>
    <w:rsid w:val="00BA054C"/>
    <w:rsid w:val="00BA17BA"/>
    <w:rsid w:val="00BA3E30"/>
    <w:rsid w:val="00BA40FF"/>
    <w:rsid w:val="00BA5CC6"/>
    <w:rsid w:val="00BB099B"/>
    <w:rsid w:val="00BB1581"/>
    <w:rsid w:val="00BB36E3"/>
    <w:rsid w:val="00BB4D5E"/>
    <w:rsid w:val="00BB68B5"/>
    <w:rsid w:val="00BC0D56"/>
    <w:rsid w:val="00BC12C5"/>
    <w:rsid w:val="00BC1691"/>
    <w:rsid w:val="00BC2BBF"/>
    <w:rsid w:val="00BC3A2E"/>
    <w:rsid w:val="00BC3B28"/>
    <w:rsid w:val="00BC3B53"/>
    <w:rsid w:val="00BC41B3"/>
    <w:rsid w:val="00BC4D96"/>
    <w:rsid w:val="00BC5357"/>
    <w:rsid w:val="00BC5974"/>
    <w:rsid w:val="00BC5EA1"/>
    <w:rsid w:val="00BC6FE2"/>
    <w:rsid w:val="00BD1794"/>
    <w:rsid w:val="00BD232B"/>
    <w:rsid w:val="00BD286A"/>
    <w:rsid w:val="00BD66AC"/>
    <w:rsid w:val="00BD7D17"/>
    <w:rsid w:val="00BE0121"/>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936"/>
    <w:rsid w:val="00BF7CD1"/>
    <w:rsid w:val="00C01225"/>
    <w:rsid w:val="00C017BE"/>
    <w:rsid w:val="00C01C61"/>
    <w:rsid w:val="00C01D09"/>
    <w:rsid w:val="00C01E01"/>
    <w:rsid w:val="00C0257F"/>
    <w:rsid w:val="00C03548"/>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7F2"/>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483"/>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D6F07"/>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2012E"/>
    <w:rsid w:val="00D20824"/>
    <w:rsid w:val="00D209E6"/>
    <w:rsid w:val="00D22715"/>
    <w:rsid w:val="00D24E7D"/>
    <w:rsid w:val="00D26386"/>
    <w:rsid w:val="00D30E0A"/>
    <w:rsid w:val="00D31523"/>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4DEE"/>
    <w:rsid w:val="00D96B16"/>
    <w:rsid w:val="00DA16FF"/>
    <w:rsid w:val="00DA57A1"/>
    <w:rsid w:val="00DA6CC8"/>
    <w:rsid w:val="00DA77C5"/>
    <w:rsid w:val="00DB0105"/>
    <w:rsid w:val="00DB0524"/>
    <w:rsid w:val="00DB058F"/>
    <w:rsid w:val="00DB3576"/>
    <w:rsid w:val="00DB3E96"/>
    <w:rsid w:val="00DB4492"/>
    <w:rsid w:val="00DB4FC1"/>
    <w:rsid w:val="00DB5EB9"/>
    <w:rsid w:val="00DB6F45"/>
    <w:rsid w:val="00DB7000"/>
    <w:rsid w:val="00DC1F56"/>
    <w:rsid w:val="00DC2046"/>
    <w:rsid w:val="00DC230F"/>
    <w:rsid w:val="00DC241D"/>
    <w:rsid w:val="00DC599E"/>
    <w:rsid w:val="00DC760A"/>
    <w:rsid w:val="00DC7928"/>
    <w:rsid w:val="00DC7BE1"/>
    <w:rsid w:val="00DD130A"/>
    <w:rsid w:val="00DD26EE"/>
    <w:rsid w:val="00DD4786"/>
    <w:rsid w:val="00DD5C76"/>
    <w:rsid w:val="00DD63F9"/>
    <w:rsid w:val="00DE10D6"/>
    <w:rsid w:val="00DE35C9"/>
    <w:rsid w:val="00DE363D"/>
    <w:rsid w:val="00DE4061"/>
    <w:rsid w:val="00DE5029"/>
    <w:rsid w:val="00DE7311"/>
    <w:rsid w:val="00DE74F9"/>
    <w:rsid w:val="00DE7AED"/>
    <w:rsid w:val="00DF0EFA"/>
    <w:rsid w:val="00DF15DC"/>
    <w:rsid w:val="00DF2A12"/>
    <w:rsid w:val="00DF2E29"/>
    <w:rsid w:val="00DF55E9"/>
    <w:rsid w:val="00DF57FB"/>
    <w:rsid w:val="00DF595A"/>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EF7711"/>
    <w:rsid w:val="00F0018C"/>
    <w:rsid w:val="00F00928"/>
    <w:rsid w:val="00F0113D"/>
    <w:rsid w:val="00F017AD"/>
    <w:rsid w:val="00F017DB"/>
    <w:rsid w:val="00F02BAD"/>
    <w:rsid w:val="00F0309C"/>
    <w:rsid w:val="00F0363B"/>
    <w:rsid w:val="00F04424"/>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49110912">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04F9E-6BFF-40D5-8463-5CA3E648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1476</Words>
  <Characters>8121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Lilia Ievesia García Alarcón</cp:lastModifiedBy>
  <cp:revision>2</cp:revision>
  <cp:lastPrinted>2018-12-12T17:47:00Z</cp:lastPrinted>
  <dcterms:created xsi:type="dcterms:W3CDTF">2018-12-12T19:44:00Z</dcterms:created>
  <dcterms:modified xsi:type="dcterms:W3CDTF">2018-12-12T19:44:00Z</dcterms:modified>
</cp:coreProperties>
</file>